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center"/>
      </w:pPr>
      <w:r>
        <w:rPr>
          <w:rFonts w:ascii="Calibri" w:hAnsi="Calibri"/>
          <w:b/>
          <w:color w:val="0F2044"/>
          <w:sz w:val="56"/>
        </w:rPr>
        <w:t>Berry Best Phlebotomy Training Academy</w:t>
        <w:br/>
        <w:t>Phlebotomy Certification Program</w:t>
      </w:r>
    </w:p>
    <w:p>
      <w:pPr>
        <w:jc w:val="center"/>
      </w:pPr>
      <w:r>
        <w:rPr>
          <w:rFonts w:ascii="Calibri" w:hAnsi="Calibri"/>
          <w:color w:val="C23508"/>
          <w:sz w:val="32"/>
        </w:rPr>
        <w:t>Program Summary &amp; Meeting Discussion Guide</w:t>
      </w:r>
    </w:p>
    <w:p/>
    <w:p>
      <w:pPr>
        <w:jc w:val="center"/>
      </w:pPr>
      <w:r>
        <w:rPr>
          <w:color w:val="6B7A99"/>
          <w:sz w:val="24"/>
        </w:rPr>
        <w:t>Powered by Force for Health Academy</w:t>
        <w:br/>
        <w:t>Prepared: April 2026</w:t>
        <w:br/>
        <w:br/>
        <w:t>NHA CPT &amp; ASCP PBT Certification Aligned</w:t>
      </w:r>
    </w:p>
    <w:p>
      <w:r>
        <w:br w:type="page"/>
      </w:r>
    </w:p>
    <w:p>
      <w:pPr>
        <w:pStyle w:val="Heading1"/>
      </w:pPr>
      <w:r>
        <w:t>1. Executive Summary</w:t>
      </w:r>
    </w:p>
    <w:p>
      <w:r>
        <w:t>The Berry Best Phlebotomy Training Academy Phlebotomy Certification Program is a comprehensive, technology-enhanced phlebotomy training curriculum developed on the Force for Health Academy platform. The program prepares students for both the NHA Certified Phlebotomy Technician (CPT) and ASCP Phlebotomy Technician (PBT) certification examinations through 6 core instructional modules, 20+ interactive learning assets, and a pedagogy framework built on three pillars: Learn It, Live It, and Share It.</w:t>
      </w:r>
    </w:p>
    <w:p>
      <w:r>
        <w:t>The program features gamified learning (XP, coins, streaks, ranks, leaderboards), interactive simulation challenges, practice certification exams, and patient-facing education tools that prepare students not only for the technical aspects of phlebotomy but for the human element — communicating with scared patients, supporting families, and understanding how their work directly enables diagnosis and treatment across every medical specialty.</w:t>
      </w:r>
    </w:p>
    <w:p>
      <w:pPr>
        <w:pStyle w:val="Heading1"/>
      </w:pPr>
      <w:r>
        <w:t>2. Program Structure</w:t>
      </w:r>
    </w:p>
    <w:p>
      <w:pPr>
        <w:pStyle w:val="Heading2"/>
      </w:pPr>
      <w:r>
        <w:t>2.1 Core Modules</w:t>
      </w:r>
    </w:p>
    <w:p>
      <w:r>
        <w:rPr>
          <w:b/>
          <w:sz w:val="22"/>
        </w:rPr>
        <w:t>Module 1: Fundamentals</w:t>
      </w:r>
    </w:p>
    <w:p>
      <w:r>
        <w:t>Essential phlebotomy principles, equipment identification, tube types, order of draw, professional standards, and the phlebotomist's role in the healthcare team.</w:t>
      </w:r>
    </w:p>
    <w:p>
      <w:r>
        <w:rPr>
          <w:b/>
          <w:sz w:val="22"/>
        </w:rPr>
        <w:t>Module 2: Compliance &amp; Safety</w:t>
      </w:r>
    </w:p>
    <w:p>
      <w:r>
        <w:t>OSHA bloodborne pathogen standards, HIPAA privacy requirements, infection control, sharps safety, PPE, waste management, and regulatory inspection readiness.</w:t>
      </w:r>
    </w:p>
    <w:p>
      <w:r>
        <w:rPr>
          <w:b/>
          <w:sz w:val="22"/>
        </w:rPr>
        <w:t>Module 3: Preparing the Patient</w:t>
      </w:r>
    </w:p>
    <w:p>
      <w:r>
        <w:t>Patient identification protocols, vein assessment, tourniquet technique, site selection, managing anxious patients, vasovagal response recognition, and special considerations (fistulas, mastectomy, burns).</w:t>
      </w:r>
    </w:p>
    <w:p>
      <w:r>
        <w:rPr>
          <w:b/>
          <w:sz w:val="22"/>
        </w:rPr>
        <w:t>Module 4: Routine Blood Collection</w:t>
      </w:r>
    </w:p>
    <w:p>
      <w:r>
        <w:t>Venipuncture technique (16-step procedure), equipment selection, order of draw execution, troubleshooting flow problems, specimen labeling, and quality specimen handling.</w:t>
      </w:r>
    </w:p>
    <w:p>
      <w:r>
        <w:rPr>
          <w:b/>
          <w:sz w:val="22"/>
        </w:rPr>
        <w:t>Module 5: Special Collections</w:t>
      </w:r>
    </w:p>
    <w:p>
      <w:r>
        <w:t>Capillary/heel sticks, blood cultures, arterial blood gases (ABG), glucose tolerance tests, pediatric collections, newborn screening (NBS), and anticoagulated patient management.</w:t>
      </w:r>
    </w:p>
    <w:p>
      <w:r>
        <w:rPr>
          <w:b/>
          <w:sz w:val="22"/>
        </w:rPr>
        <w:t>Module 6: Processing &amp; Quality</w:t>
      </w:r>
    </w:p>
    <w:p>
      <w:r>
        <w:t>Specimen centrifugation, aliquoting, critical value reporting, quality control procedures, chain of custody, CLIA-waived point-of-care testing, and system downtime protocols.</w:t>
      </w:r>
    </w:p>
    <w:p>
      <w:pPr>
        <w:pStyle w:val="Heading2"/>
      </w:pPr>
      <w:r>
        <w:t>2.2 Pedagogy Framework: Learn It → Live It → Share It</w:t>
      </w:r>
    </w:p>
    <w:p>
      <w:r>
        <w:rPr>
          <w:b/>
          <w:sz w:val="22"/>
        </w:rPr>
        <w:t>Learn It (Blue)</w:t>
      </w:r>
    </w:p>
    <w:p>
      <w:r>
        <w:t>Students explore core concepts through interactive lessons, multimedia content, and comprehensive reading materials. Each module includes instructor video placeholders at every lesson checkpoint for personalized instruction.</w:t>
      </w:r>
    </w:p>
    <w:p>
      <w:r>
        <w:rPr>
          <w:b/>
          <w:sz w:val="22"/>
        </w:rPr>
        <w:t>Live It (Green)</w:t>
      </w:r>
    </w:p>
    <w:p>
      <w:r>
        <w:t>Students practice skills through scenario-based simulation challenges, interactive assessments, and reinforcement activities. The program includes 6 dedicated simulation challenges (one per module) featuring real-world patient scenarios that emphasize clinical decision-making, patient communication, and the phlebotomist's role in the care team. Each simulation uses a choose-your-adventure format with tiered scoring (Best Practice, Good, Adequate, Risky) and immediate feedback. Total: 180 XP possible across all simulations.</w:t>
      </w:r>
    </w:p>
    <w:p>
      <w:r>
        <w:rPr>
          <w:b/>
          <w:sz w:val="22"/>
        </w:rPr>
        <w:t>Share It (Gold)</w:t>
      </w:r>
    </w:p>
    <w:p>
      <w:r>
        <w:t>Students demonstrate mastery by teaching-back concepts and creating patient-facing education materials. The Patient Handout Generator allows students to view, customize, and print professional handouts covering blood draw preparation, aftercare, patient rights, needle anxiety tips, understanding blood tests, and safety rights.</w:t>
      </w:r>
    </w:p>
    <w:p>
      <w:r>
        <w:br w:type="page"/>
      </w:r>
    </w:p>
    <w:p>
      <w:pPr>
        <w:pStyle w:val="Heading1"/>
      </w:pPr>
      <w:r>
        <w:t>3. Live It: Simulation Challenges</w:t>
      </w:r>
    </w:p>
    <w:p>
      <w:r>
        <w:t>Each simulation places students in realistic, emotionally complex phlebotomy scenarios that emphasize the human element of the profession. Scenarios are designed to show how the phlebotomist's work creates value for the entire care team and addresses the reality that phlebotomists are often the first healthcare professional a scared patient encounters.</w:t>
      </w:r>
    </w:p>
    <w:p>
      <w:r>
        <w:rPr>
          <w:b/>
          <w:sz w:val="22"/>
        </w:rPr>
        <w:t>Module 1 — "The Scared Father"</w:t>
      </w:r>
    </w:p>
    <w:p>
      <w:r>
        <w:t>Outpatient lab. A 42-year-old man who hasn't seen a doctor in 8 years, terrified of a cancer diagnosis like his father. 6 tubes ordered. His daughter is in the waiting room. Covers: professional communication, order of draw, patient education, scope of practice, and emotional support within boundaries.</w:t>
      </w:r>
    </w:p>
    <w:p>
      <w:r>
        <w:rPr>
          <w:b/>
          <w:sz w:val="22"/>
        </w:rPr>
        <w:t>Module 2 — "The Needlestick"</w:t>
      </w:r>
    </w:p>
    <w:p>
      <w:r>
        <w:t>Inpatient hospital. Pre-op draw on a Hep C positive patient when a needlestick occurs. Covers: OSHA immediate response protocol, sharps injury reporting, post-exposure prophylaxis, patient dignity during safety events, and documentation requirements.</w:t>
      </w:r>
    </w:p>
    <w:p>
      <w:r>
        <w:rPr>
          <w:b/>
          <w:sz w:val="22"/>
        </w:rPr>
        <w:t>Module 3 — "The Kidney Patient"</w:t>
      </w:r>
    </w:p>
    <w:p>
      <w:r>
        <w:t>Nephrology clinic. A CKD Stage 3b patient with AV fistula, difficult veins, and tears — her lab results will determine if she needs dialysis. Covers: fistula protection, warm compress technique, butterfly needle selection, vein preservation, and compassion within scope.</w:t>
      </w:r>
    </w:p>
    <w:p>
      <w:r>
        <w:rPr>
          <w:b/>
          <w:sz w:val="22"/>
        </w:rPr>
        <w:t>Module 4 — "The Leukemia Recheck"</w:t>
      </w:r>
    </w:p>
    <w:p>
      <w:r>
        <w:t>Oncology center. 6-month post-remission CBC on a 17-year-old with scarred veins from chemotherapy. His mother is desperate for any information. Covers: post-chemo vein assessment, specimen quality for hematology, EDTA mixing, scope of practice with families.</w:t>
      </w:r>
    </w:p>
    <w:p>
      <w:r>
        <w:rPr>
          <w:b/>
          <w:sz w:val="22"/>
        </w:rPr>
        <w:t>Module 5 — "The Newborn"</w:t>
      </w:r>
    </w:p>
    <w:p>
      <w:r>
        <w:t>Postpartum unit, 4 AM. Newborn screening heel stick on a 2-day-old baby with a terrified first-time mother and a father who wakes up mid-procedure. Covers: NBS timing, CLSI GP44-A4 collection technique, parent education, family communication, and public health screening importance.</w:t>
      </w:r>
    </w:p>
    <w:p>
      <w:r>
        <w:rPr>
          <w:b/>
          <w:sz w:val="22"/>
        </w:rPr>
        <w:t>Module 6 — "The CSF Specimen"</w:t>
      </w:r>
    </w:p>
    <w:p>
      <w:r>
        <w:t>Lab processing, night shift. STAT CSF from a 4-year-old with suspected bacterial meningitis. Centrifuge error, understaffed. Covers: CSF handling (never pneumatic tube), specimen triage, chain of custody, centrifuge balancing, critical value notification per Joint Commission NPSG.02.03.01.</w:t>
      </w:r>
    </w:p>
    <w:p>
      <w:r>
        <w:br w:type="page"/>
      </w:r>
    </w:p>
    <w:p>
      <w:pPr>
        <w:pStyle w:val="Heading1"/>
      </w:pPr>
      <w:r>
        <w:t>4. Regulatory Compliance &amp; Standards Alignment</w:t>
      </w:r>
    </w:p>
    <w:p>
      <w:r>
        <w:t>The phlebotomy program incorporates comprehensive regulatory compliance content throughout all 6 modules, with particular depth in Module 2 (Safety &amp; Compliance) and the practice certification exams. The following section details specific regulatory frameworks, standards, and compliance requirements covered in the curriculum.</w:t>
      </w:r>
    </w:p>
    <w:p>
      <w:pPr>
        <w:pStyle w:val="Heading2"/>
      </w:pPr>
      <w:r>
        <w:t>4.1 OSHA — Occupational Safety and Health Administration</w:t>
      </w:r>
    </w:p>
    <w:p>
      <w:r>
        <w:rPr>
          <w:b/>
          <w:sz w:val="22"/>
        </w:rPr>
        <w:t>Primary Standard: 29 CFR 1910.1030 — Bloodborne Pathogens Standard</w:t>
      </w:r>
    </w:p>
    <w:p>
      <w:r>
        <w:t>The program covers the complete OSHA Bloodborne Pathogens Standard including:</w:t>
      </w:r>
    </w:p>
    <w:p>
      <w:pPr>
        <w:pStyle w:val="ListBullet"/>
      </w:pPr>
      <w:r>
        <w:t>Exposure Control Plan (ECP) requirements — annual review, accessibility, employee input</w:t>
      </w:r>
    </w:p>
    <w:p>
      <w:pPr>
        <w:pStyle w:val="ListBullet"/>
      </w:pPr>
      <w:r>
        <w:t>Universal/Standard Precautions — treating all blood and body fluids as potentially infectious</w:t>
      </w:r>
    </w:p>
    <w:p>
      <w:pPr>
        <w:pStyle w:val="ListBullet"/>
      </w:pPr>
      <w:r>
        <w:t>Engineering controls — safety-engineered sharp devices (SESIPs), needleless systems, self-sheathing needles</w:t>
      </w:r>
    </w:p>
    <w:p>
      <w:pPr>
        <w:pStyle w:val="ListBullet"/>
      </w:pPr>
      <w:r>
        <w:t>Work practice controls — one-handed needle recapping prohibition, immediate sharps disposal, hand hygiene</w:t>
      </w:r>
    </w:p>
    <w:p>
      <w:pPr>
        <w:pStyle w:val="ListBullet"/>
      </w:pPr>
      <w:r>
        <w:t>Personal Protective Equipment (PPE) — gloves (changed between patients), lab coats, face shields when splash risk exists</w:t>
      </w:r>
    </w:p>
    <w:p>
      <w:pPr>
        <w:pStyle w:val="ListBullet"/>
      </w:pPr>
      <w:r>
        <w:t>Hepatitis B vaccination — employer must offer within 10 days of hire at no cost to employee</w:t>
      </w:r>
    </w:p>
    <w:p>
      <w:pPr>
        <w:pStyle w:val="ListBullet"/>
      </w:pPr>
      <w:r>
        <w:t>Post-exposure evaluation — immediate wound washing, baseline bloodwork, PEP evaluation within 2 hours</w:t>
      </w:r>
    </w:p>
    <w:p>
      <w:pPr>
        <w:pStyle w:val="ListBullet"/>
      </w:pPr>
      <w:r>
        <w:t>Sharps Injury Log — OSHA 300/300A recordkeeping, device type, location, circumstances</w:t>
      </w:r>
    </w:p>
    <w:p>
      <w:pPr>
        <w:pStyle w:val="ListBullet"/>
      </w:pPr>
      <w:r>
        <w:t>Training requirements — initial training + annual refresher, must be during work hours at no cost</w:t>
      </w:r>
    </w:p>
    <w:p>
      <w:r>
        <w:rPr>
          <w:b/>
          <w:sz w:val="22"/>
        </w:rPr>
        <w:t>Penalty Structure (Current as of 2025)</w:t>
      </w:r>
    </w:p>
    <w:tbl>
      <w:tblPr>
        <w:tblStyle w:val="TableGrid"/>
        <w:tblW w:type="auto" w:w="0"/>
        <w:jc w:val="center"/>
        <w:tblLook w:firstColumn="1" w:firstRow="1" w:lastColumn="0" w:lastRow="0" w:noHBand="0" w:noVBand="1" w:val="04A0"/>
      </w:tblPr>
      <w:tblGrid>
        <w:gridCol w:w="4320"/>
        <w:gridCol w:w="4320"/>
      </w:tblGrid>
      <w:tr>
        <w:tc>
          <w:tcPr>
            <w:tcW w:type="dxa" w:w="4320"/>
          </w:tcPr>
          <w:p>
            <w:r>
              <w:rPr>
                <w:b/>
                <w:sz w:val="18"/>
              </w:rPr>
              <w:t>Violation Type</w:t>
            </w:r>
          </w:p>
        </w:tc>
        <w:tc>
          <w:tcPr>
            <w:tcW w:type="dxa" w:w="4320"/>
          </w:tcPr>
          <w:p>
            <w:r>
              <w:rPr>
                <w:b/>
                <w:sz w:val="18"/>
              </w:rPr>
              <w:t>Maximum Penalty</w:t>
            </w:r>
          </w:p>
        </w:tc>
      </w:tr>
      <w:tr>
        <w:tc>
          <w:tcPr>
            <w:tcW w:type="dxa" w:w="4320"/>
          </w:tcPr>
          <w:p>
            <w:r/>
            <w:r>
              <w:rPr>
                <w:rFonts w:ascii="Calibri" w:hAnsi="Calibri"/>
                <w:sz w:val="18"/>
              </w:rPr>
              <w:t>Serious violation</w:t>
            </w:r>
          </w:p>
        </w:tc>
        <w:tc>
          <w:tcPr>
            <w:tcW w:type="dxa" w:w="4320"/>
          </w:tcPr>
          <w:p>
            <w:r/>
            <w:r>
              <w:rPr>
                <w:rFonts w:ascii="Calibri" w:hAnsi="Calibri"/>
                <w:sz w:val="18"/>
              </w:rPr>
              <w:t>$16,131 per violation</w:t>
            </w:r>
          </w:p>
        </w:tc>
      </w:tr>
      <w:tr>
        <w:tc>
          <w:tcPr>
            <w:tcW w:type="dxa" w:w="4320"/>
          </w:tcPr>
          <w:p>
            <w:r/>
            <w:r>
              <w:rPr>
                <w:rFonts w:ascii="Calibri" w:hAnsi="Calibri"/>
                <w:sz w:val="18"/>
              </w:rPr>
              <w:t>Other-than-serious violation</w:t>
            </w:r>
          </w:p>
        </w:tc>
        <w:tc>
          <w:tcPr>
            <w:tcW w:type="dxa" w:w="4320"/>
          </w:tcPr>
          <w:p>
            <w:r/>
            <w:r>
              <w:rPr>
                <w:rFonts w:ascii="Calibri" w:hAnsi="Calibri"/>
                <w:sz w:val="18"/>
              </w:rPr>
              <w:t>$16,131 per violation</w:t>
            </w:r>
          </w:p>
        </w:tc>
      </w:tr>
      <w:tr>
        <w:tc>
          <w:tcPr>
            <w:tcW w:type="dxa" w:w="4320"/>
          </w:tcPr>
          <w:p>
            <w:r/>
            <w:r>
              <w:rPr>
                <w:rFonts w:ascii="Calibri" w:hAnsi="Calibri"/>
                <w:sz w:val="18"/>
              </w:rPr>
              <w:t>Willful or repeated violation</w:t>
            </w:r>
          </w:p>
        </w:tc>
        <w:tc>
          <w:tcPr>
            <w:tcW w:type="dxa" w:w="4320"/>
          </w:tcPr>
          <w:p>
            <w:r/>
            <w:r>
              <w:rPr>
                <w:rFonts w:ascii="Calibri" w:hAnsi="Calibri"/>
                <w:sz w:val="18"/>
              </w:rPr>
              <w:t>$161,323 per violation</w:t>
            </w:r>
          </w:p>
        </w:tc>
      </w:tr>
      <w:tr>
        <w:tc>
          <w:tcPr>
            <w:tcW w:type="dxa" w:w="4320"/>
          </w:tcPr>
          <w:p>
            <w:r/>
            <w:r>
              <w:rPr>
                <w:rFonts w:ascii="Calibri" w:hAnsi="Calibri"/>
                <w:sz w:val="18"/>
              </w:rPr>
              <w:t>Failure to abate</w:t>
            </w:r>
          </w:p>
        </w:tc>
        <w:tc>
          <w:tcPr>
            <w:tcW w:type="dxa" w:w="4320"/>
          </w:tcPr>
          <w:p>
            <w:r/>
            <w:r>
              <w:rPr>
                <w:rFonts w:ascii="Calibri" w:hAnsi="Calibri"/>
                <w:sz w:val="18"/>
              </w:rPr>
              <w:t>$16,131 per day beyond abatement date</w:t>
            </w:r>
          </w:p>
        </w:tc>
      </w:tr>
      <w:tr>
        <w:tc>
          <w:tcPr>
            <w:tcW w:type="dxa" w:w="4320"/>
          </w:tcPr>
          <w:p>
            <w:r/>
            <w:r>
              <w:rPr>
                <w:rFonts w:ascii="Calibri" w:hAnsi="Calibri"/>
                <w:sz w:val="18"/>
              </w:rPr>
              <w:t>Posting requirements violation</w:t>
            </w:r>
          </w:p>
        </w:tc>
        <w:tc>
          <w:tcPr>
            <w:tcW w:type="dxa" w:w="4320"/>
          </w:tcPr>
          <w:p>
            <w:r/>
            <w:r>
              <w:rPr>
                <w:rFonts w:ascii="Calibri" w:hAnsi="Calibri"/>
                <w:sz w:val="18"/>
              </w:rPr>
              <w:t>$16,131 per violation</w:t>
            </w:r>
          </w:p>
        </w:tc>
      </w:tr>
    </w:tbl>
    <w:p>
      <w:pPr>
        <w:pStyle w:val="Heading2"/>
      </w:pPr>
      <w:r>
        <w:t>4.2 HIPAA — Health Insurance Portability and Accountability Act</w:t>
      </w:r>
    </w:p>
    <w:p>
      <w:r>
        <w:t>The program addresses HIPAA Privacy Rule requirements as they apply directly to phlebotomy practice:</w:t>
      </w:r>
    </w:p>
    <w:p>
      <w:r>
        <w:rPr>
          <w:b/>
          <w:sz w:val="22"/>
        </w:rPr>
        <w:t>18 Personal Health Identifiers (PHI) Protected by HIPAA</w:t>
      </w:r>
    </w:p>
    <w:p>
      <w:pPr>
        <w:pStyle w:val="ListBullet"/>
      </w:pPr>
      <w:r>
        <w:t>Names</w:t>
      </w:r>
    </w:p>
    <w:p>
      <w:pPr>
        <w:pStyle w:val="ListBullet"/>
      </w:pPr>
      <w:r>
        <w:t>Geographic data (smaller than state)</w:t>
      </w:r>
    </w:p>
    <w:p>
      <w:pPr>
        <w:pStyle w:val="ListBullet"/>
      </w:pPr>
      <w:r>
        <w:t>Dates (except year) related to individual</w:t>
      </w:r>
    </w:p>
    <w:p>
      <w:pPr>
        <w:pStyle w:val="ListBullet"/>
      </w:pPr>
      <w:r>
        <w:t>Phone numbers</w:t>
      </w:r>
    </w:p>
    <w:p>
      <w:pPr>
        <w:pStyle w:val="ListBullet"/>
      </w:pPr>
      <w:r>
        <w:t>Fax numbers</w:t>
      </w:r>
    </w:p>
    <w:p>
      <w:pPr>
        <w:pStyle w:val="ListBullet"/>
      </w:pPr>
      <w:r>
        <w:t>Email addresses</w:t>
      </w:r>
    </w:p>
    <w:p>
      <w:pPr>
        <w:pStyle w:val="ListBullet"/>
      </w:pPr>
      <w:r>
        <w:t>Social Security numbers</w:t>
      </w:r>
    </w:p>
    <w:p>
      <w:pPr>
        <w:pStyle w:val="ListBullet"/>
      </w:pPr>
      <w:r>
        <w:t>Medical record numbers</w:t>
      </w:r>
    </w:p>
    <w:p>
      <w:pPr>
        <w:pStyle w:val="ListBullet"/>
      </w:pPr>
      <w:r>
        <w:t>Health plan beneficiary numbers</w:t>
      </w:r>
    </w:p>
    <w:p>
      <w:pPr>
        <w:pStyle w:val="ListBullet"/>
      </w:pPr>
      <w:r>
        <w:t>Account numbers</w:t>
      </w:r>
    </w:p>
    <w:p>
      <w:pPr>
        <w:pStyle w:val="ListBullet"/>
      </w:pPr>
      <w:r>
        <w:t>Certificate/license numbers</w:t>
      </w:r>
    </w:p>
    <w:p>
      <w:pPr>
        <w:pStyle w:val="ListBullet"/>
      </w:pPr>
      <w:r>
        <w:t>Vehicle identifiers &amp; serial numbers</w:t>
      </w:r>
    </w:p>
    <w:p>
      <w:pPr>
        <w:pStyle w:val="ListBullet"/>
      </w:pPr>
      <w:r>
        <w:t>Device identifiers &amp; serial numbers</w:t>
      </w:r>
    </w:p>
    <w:p>
      <w:pPr>
        <w:pStyle w:val="ListBullet"/>
      </w:pPr>
      <w:r>
        <w:t>Web URLs</w:t>
      </w:r>
    </w:p>
    <w:p>
      <w:pPr>
        <w:pStyle w:val="ListBullet"/>
      </w:pPr>
      <w:r>
        <w:t>IP addresses</w:t>
      </w:r>
    </w:p>
    <w:p>
      <w:pPr>
        <w:pStyle w:val="ListBullet"/>
      </w:pPr>
      <w:r>
        <w:t>Biometric identifiers</w:t>
      </w:r>
    </w:p>
    <w:p>
      <w:pPr>
        <w:pStyle w:val="ListBullet"/>
      </w:pPr>
      <w:r>
        <w:t>Full-face photographs</w:t>
      </w:r>
    </w:p>
    <w:p>
      <w:pPr>
        <w:pStyle w:val="ListBullet"/>
      </w:pPr>
      <w:r>
        <w:t>Any other unique identifier</w:t>
      </w:r>
    </w:p>
    <w:p>
      <w:r>
        <w:rPr>
          <w:b/>
          <w:sz w:val="22"/>
        </w:rPr>
        <w:t>HIPAA Penalty Tiers</w:t>
      </w:r>
    </w:p>
    <w:tbl>
      <w:tblPr>
        <w:tblStyle w:val="TableGrid"/>
        <w:tblW w:type="auto" w:w="0"/>
        <w:jc w:val="center"/>
        <w:tblLook w:firstColumn="1" w:firstRow="1" w:lastColumn="0" w:lastRow="0" w:noHBand="0" w:noVBand="1" w:val="04A0"/>
      </w:tblPr>
      <w:tblGrid>
        <w:gridCol w:w="2880"/>
        <w:gridCol w:w="2880"/>
        <w:gridCol w:w="2880"/>
      </w:tblGrid>
      <w:tr>
        <w:tc>
          <w:tcPr>
            <w:tcW w:type="dxa" w:w="2880"/>
          </w:tcPr>
          <w:p>
            <w:r>
              <w:rPr>
                <w:b/>
                <w:sz w:val="18"/>
              </w:rPr>
              <w:t>Tier</w:t>
            </w:r>
          </w:p>
        </w:tc>
        <w:tc>
          <w:tcPr>
            <w:tcW w:type="dxa" w:w="2880"/>
          </w:tcPr>
          <w:p>
            <w:r>
              <w:rPr>
                <w:b/>
                <w:sz w:val="18"/>
              </w:rPr>
              <w:t>Description</w:t>
            </w:r>
          </w:p>
        </w:tc>
        <w:tc>
          <w:tcPr>
            <w:tcW w:type="dxa" w:w="2880"/>
          </w:tcPr>
          <w:p>
            <w:r>
              <w:rPr>
                <w:b/>
                <w:sz w:val="18"/>
              </w:rPr>
              <w:t>Penalty Range</w:t>
            </w:r>
          </w:p>
        </w:tc>
      </w:tr>
      <w:tr>
        <w:tc>
          <w:tcPr>
            <w:tcW w:type="dxa" w:w="2880"/>
          </w:tcPr>
          <w:p>
            <w:r/>
            <w:r>
              <w:rPr>
                <w:rFonts w:ascii="Calibri" w:hAnsi="Calibri"/>
                <w:sz w:val="18"/>
              </w:rPr>
              <w:t>Tier 1</w:t>
            </w:r>
          </w:p>
        </w:tc>
        <w:tc>
          <w:tcPr>
            <w:tcW w:type="dxa" w:w="2880"/>
          </w:tcPr>
          <w:p>
            <w:r/>
            <w:r>
              <w:rPr>
                <w:rFonts w:ascii="Calibri" w:hAnsi="Calibri"/>
                <w:sz w:val="18"/>
              </w:rPr>
              <w:t>Lack of knowledge</w:t>
            </w:r>
          </w:p>
        </w:tc>
        <w:tc>
          <w:tcPr>
            <w:tcW w:type="dxa" w:w="2880"/>
          </w:tcPr>
          <w:p>
            <w:r/>
            <w:r>
              <w:rPr>
                <w:rFonts w:ascii="Calibri" w:hAnsi="Calibri"/>
                <w:sz w:val="18"/>
              </w:rPr>
              <w:t>$137–$68,928 per violation; $2,067,813/year</w:t>
            </w:r>
          </w:p>
        </w:tc>
      </w:tr>
      <w:tr>
        <w:tc>
          <w:tcPr>
            <w:tcW w:type="dxa" w:w="2880"/>
          </w:tcPr>
          <w:p>
            <w:r/>
            <w:r>
              <w:rPr>
                <w:rFonts w:ascii="Calibri" w:hAnsi="Calibri"/>
                <w:sz w:val="18"/>
              </w:rPr>
              <w:t>Tier 2</w:t>
            </w:r>
          </w:p>
        </w:tc>
        <w:tc>
          <w:tcPr>
            <w:tcW w:type="dxa" w:w="2880"/>
          </w:tcPr>
          <w:p>
            <w:r/>
            <w:r>
              <w:rPr>
                <w:rFonts w:ascii="Calibri" w:hAnsi="Calibri"/>
                <w:sz w:val="18"/>
              </w:rPr>
              <w:t>Reasonable cause</w:t>
            </w:r>
          </w:p>
        </w:tc>
        <w:tc>
          <w:tcPr>
            <w:tcW w:type="dxa" w:w="2880"/>
          </w:tcPr>
          <w:p>
            <w:r/>
            <w:r>
              <w:rPr>
                <w:rFonts w:ascii="Calibri" w:hAnsi="Calibri"/>
                <w:sz w:val="18"/>
              </w:rPr>
              <w:t>$1,379–$68,928 per violation; $2,067,813/year</w:t>
            </w:r>
          </w:p>
        </w:tc>
      </w:tr>
      <w:tr>
        <w:tc>
          <w:tcPr>
            <w:tcW w:type="dxa" w:w="2880"/>
          </w:tcPr>
          <w:p>
            <w:r/>
            <w:r>
              <w:rPr>
                <w:rFonts w:ascii="Calibri" w:hAnsi="Calibri"/>
                <w:sz w:val="18"/>
              </w:rPr>
              <w:t>Tier 3</w:t>
            </w:r>
          </w:p>
        </w:tc>
        <w:tc>
          <w:tcPr>
            <w:tcW w:type="dxa" w:w="2880"/>
          </w:tcPr>
          <w:p>
            <w:r/>
            <w:r>
              <w:rPr>
                <w:rFonts w:ascii="Calibri" w:hAnsi="Calibri"/>
                <w:sz w:val="18"/>
              </w:rPr>
              <w:t>Willful neglect (corrected)</w:t>
            </w:r>
          </w:p>
        </w:tc>
        <w:tc>
          <w:tcPr>
            <w:tcW w:type="dxa" w:w="2880"/>
          </w:tcPr>
          <w:p>
            <w:r/>
            <w:r>
              <w:rPr>
                <w:rFonts w:ascii="Calibri" w:hAnsi="Calibri"/>
                <w:sz w:val="18"/>
              </w:rPr>
              <w:t>$13,785–$68,928 per violation; $2,067,813/year</w:t>
            </w:r>
          </w:p>
        </w:tc>
      </w:tr>
      <w:tr>
        <w:tc>
          <w:tcPr>
            <w:tcW w:type="dxa" w:w="2880"/>
          </w:tcPr>
          <w:p>
            <w:r/>
            <w:r>
              <w:rPr>
                <w:rFonts w:ascii="Calibri" w:hAnsi="Calibri"/>
                <w:sz w:val="18"/>
              </w:rPr>
              <w:t>Tier 4</w:t>
            </w:r>
          </w:p>
        </w:tc>
        <w:tc>
          <w:tcPr>
            <w:tcW w:type="dxa" w:w="2880"/>
          </w:tcPr>
          <w:p>
            <w:r/>
            <w:r>
              <w:rPr>
                <w:rFonts w:ascii="Calibri" w:hAnsi="Calibri"/>
                <w:sz w:val="18"/>
              </w:rPr>
              <w:t>Willful neglect (not corrected)</w:t>
            </w:r>
          </w:p>
        </w:tc>
        <w:tc>
          <w:tcPr>
            <w:tcW w:type="dxa" w:w="2880"/>
          </w:tcPr>
          <w:p>
            <w:r/>
            <w:r>
              <w:rPr>
                <w:rFonts w:ascii="Calibri" w:hAnsi="Calibri"/>
                <w:sz w:val="18"/>
              </w:rPr>
              <w:t>$68,928 per violation; $2,067,813/year</w:t>
            </w:r>
          </w:p>
        </w:tc>
      </w:tr>
    </w:tbl>
    <w:p>
      <w:r>
        <w:t>Phlebotomy-specific HIPAA scenarios covered in the curriculum include: overheard patient information in hallways, mislabeled specimens revealing PHI, electronic requisition handling, and proper disposal of paper requisitions containing patient information.</w:t>
      </w:r>
    </w:p>
    <w:p>
      <w:pPr>
        <w:pStyle w:val="Heading2"/>
      </w:pPr>
      <w:r>
        <w:t>4.3 The Joint Commission — National Patient Safety Goals (NPSGs)</w:t>
      </w:r>
    </w:p>
    <w:p>
      <w:r>
        <w:t>The program aligns with Joint Commission NPSGs relevant to phlebotomy practice:</w:t>
      </w:r>
    </w:p>
    <w:p>
      <w:pPr>
        <w:pStyle w:val="ListBullet"/>
      </w:pPr>
      <w:r>
        <w:t>NPSG.01.01.01 — Patient Identification: Use at least two patient identifiers (name + DOB, or name + MRN) before every specimen collection. Program covers: verbal confirmation, wristband scanning, outpatient ID verification, and mismatch protocols.</w:t>
      </w:r>
    </w:p>
    <w:p>
      <w:pPr>
        <w:pStyle w:val="ListBullet"/>
      </w:pPr>
      <w:r>
        <w:t>NPSG.01.03.01 — Eliminate Transfusion Errors: Proper specimen labeling at bedside, blood bank specimen requirements, and two-person verification for blood bank draws.</w:t>
      </w:r>
    </w:p>
    <w:p>
      <w:pPr>
        <w:pStyle w:val="ListBullet"/>
      </w:pPr>
      <w:r>
        <w:t>NPSG.02.03.01 — Critical Value Reporting: Timely notification of critical lab results to the responsible licensed caregiver with documented read-back verification. Covered extensively in Module 6 simulation (The CSF Specimen).</w:t>
      </w:r>
    </w:p>
    <w:p>
      <w:pPr>
        <w:pStyle w:val="ListBullet"/>
      </w:pPr>
      <w:r>
        <w:t>NPSG.03.04.01 — Anticoagulation Safety: Safe management of anticoagulated patients during blood draws, extended pressure application, and hematoma prevention.</w:t>
      </w:r>
    </w:p>
    <w:p>
      <w:pPr>
        <w:pStyle w:val="ListBullet"/>
      </w:pPr>
      <w:r>
        <w:t>NPSG.07.01.01 — Hand Hygiene: WHO 5 Moments for Hand Hygiene applied to phlebotomy practice, alcohol-based hand rub vs. soap and water guidelines.</w:t>
      </w:r>
    </w:p>
    <w:p>
      <w:pPr>
        <w:pStyle w:val="Heading2"/>
      </w:pPr>
      <w:r>
        <w:t>4.4 CLSI — Clinical and Laboratory Standards Institute</w:t>
      </w:r>
    </w:p>
    <w:p>
      <w:r>
        <w:t>The program follows current CLSI standards for specimen collection and handling:</w:t>
      </w:r>
    </w:p>
    <w:p>
      <w:pPr>
        <w:pStyle w:val="ListBullet"/>
      </w:pPr>
      <w:r>
        <w:t>GP41-A7 — Collection of Diagnostic Venous Blood Specimens: Order of draw sequence (blood cultures → citrate → SST/gel → heparin → EDTA → oxalate/fluoride), tourniquet time limits (&lt; 1 minute), needle gauge selection (21G standard, 23G butterfly for difficult veins), tube filling and mixing requirements.</w:t>
      </w:r>
    </w:p>
    <w:p>
      <w:pPr>
        <w:pStyle w:val="ListBullet"/>
      </w:pPr>
      <w:r>
        <w:t>GP42-A7 — Procedures and Devices for the Collection of Diagnostic Capillary Blood Specimens: Heel stick technique for neonates (medial/lateral plantar surface only), lancet depth limits, first-drop discard, order of draw for capillary specimens (EDTA → other additives → no additives).</w:t>
      </w:r>
    </w:p>
    <w:p>
      <w:pPr>
        <w:pStyle w:val="ListBullet"/>
      </w:pPr>
      <w:r>
        <w:t>GP44-A4 — Procedures for Collection of Diagnostic Blood Specimens by Skin Puncture: Newborn screening blood spot card collection — proper circle filling (one-sided application, no layering), specimen drying requirements (3-4 hours horizontal air dry), and rejection criteria.</w:t>
      </w:r>
    </w:p>
    <w:p>
      <w:pPr>
        <w:pStyle w:val="Heading2"/>
      </w:pPr>
      <w:r>
        <w:t>4.5 CLIA — Clinical Laboratory Improvement Amendments</w:t>
      </w:r>
    </w:p>
    <w:p>
      <w:r>
        <w:t>The program covers CLIA regulatory framework as it applies to phlebotomy and point-of-care testing:</w:t>
      </w:r>
    </w:p>
    <w:p>
      <w:r>
        <w:rPr>
          <w:b/>
          <w:sz w:val="22"/>
        </w:rPr>
        <w:t>CLIA Test Complexity Categories</w:t>
      </w:r>
    </w:p>
    <w:p>
      <w:pPr>
        <w:pStyle w:val="ListBullet"/>
      </w:pPr>
      <w:r>
        <w:t>Waived Tests: Performed at bedside by trained personnel including phlebotomists. Examples: blood glucose monitoring, urine dipstick, rapid strep, pregnancy tests. Covered in Module 6 under CLIA-waived POC testing.</w:t>
      </w:r>
    </w:p>
    <w:p>
      <w:pPr>
        <w:pStyle w:val="ListBullet"/>
      </w:pPr>
      <w:r>
        <w:t>Moderate Complexity: Requires additional training and QC. Includes automated hematology analyzers and some chemistry instruments.</w:t>
      </w:r>
    </w:p>
    <w:p>
      <w:pPr>
        <w:pStyle w:val="ListBullet"/>
      </w:pPr>
      <w:r>
        <w:t>High Complexity: Requires specialized training. Includes manual differentials, flow cytometry, cytogenetics.</w:t>
      </w:r>
    </w:p>
    <w:p>
      <w:r>
        <w:t>CLIA Certificate of Waiver requirements, quality control for waived tests (running QC materials before patient testing, lot-to-lot verification), and proficiency testing concepts are covered in Module 6.</w:t>
      </w:r>
    </w:p>
    <w:p>
      <w:pPr>
        <w:pStyle w:val="Heading2"/>
      </w:pPr>
      <w:r>
        <w:t>4.6 CAP — College of American Pathologists</w:t>
      </w:r>
    </w:p>
    <w:p>
      <w:r>
        <w:t>CAP accreditation standards referenced in the program include:</w:t>
      </w:r>
    </w:p>
    <w:p>
      <w:pPr>
        <w:pStyle w:val="ListBullet"/>
      </w:pPr>
      <w:r>
        <w:t>Specimen labeling requirements: minimum two patient identifiers on every specimen, labeled at the point of collection (not pre-labeled), date and time of collection, collector identification</w:t>
      </w:r>
    </w:p>
    <w:p>
      <w:pPr>
        <w:pStyle w:val="ListBullet"/>
      </w:pPr>
      <w:r>
        <w:t>Pre-analytical variables: tourniquet time documentation, patient fasting verification, specimen transport temperature requirements, centrifugation timing</w:t>
      </w:r>
    </w:p>
    <w:p>
      <w:pPr>
        <w:pStyle w:val="ListBullet"/>
      </w:pPr>
      <w:r>
        <w:t>Equipment maintenance: daily QC documentation, instrument calibration logs, temperature monitoring for specimen storage, centrifuge RPM verification</w:t>
      </w:r>
    </w:p>
    <w:p>
      <w:pPr>
        <w:pStyle w:val="ListBullet"/>
      </w:pPr>
      <w:r>
        <w:t>Unannounced inspection readiness: covered in Module 2 simulation scenario (The Unannounced Inspector)</w:t>
      </w:r>
    </w:p>
    <w:p>
      <w:pPr>
        <w:pStyle w:val="ListBullet"/>
      </w:pPr>
      <w:r>
        <w:t>Proficiency testing: concept and importance of external quality assessment programs</w:t>
      </w:r>
    </w:p>
    <w:p>
      <w:r>
        <w:br w:type="page"/>
      </w:r>
    </w:p>
    <w:p>
      <w:pPr>
        <w:pStyle w:val="Heading1"/>
      </w:pPr>
      <w:r>
        <w:t>5. Certification Exam Alignment</w:t>
      </w:r>
    </w:p>
    <w:p>
      <w:pPr>
        <w:pStyle w:val="Heading2"/>
      </w:pPr>
      <w:r>
        <w:t>5.1 NHA Certified Phlebotomy Technician (CPT)</w:t>
      </w:r>
    </w:p>
    <w:p>
      <w:r>
        <w:t>The NHA CPT exam consists of 100 scored questions plus 20 pretest items across 5 content domains. The program includes a full-length 100-question practice exam covering all domains:</w:t>
      </w:r>
    </w:p>
    <w:tbl>
      <w:tblPr>
        <w:tblStyle w:val="TableGrid"/>
        <w:tblW w:type="auto" w:w="0"/>
        <w:jc w:val="center"/>
        <w:tblLook w:firstColumn="1" w:firstRow="1" w:lastColumn="0" w:lastRow="0" w:noHBand="0" w:noVBand="1" w:val="04A0"/>
      </w:tblPr>
      <w:tblGrid>
        <w:gridCol w:w="2880"/>
        <w:gridCol w:w="2880"/>
        <w:gridCol w:w="2880"/>
      </w:tblGrid>
      <w:tr>
        <w:tc>
          <w:tcPr>
            <w:tcW w:type="dxa" w:w="2880"/>
          </w:tcPr>
          <w:p>
            <w:r>
              <w:rPr>
                <w:b/>
                <w:sz w:val="18"/>
              </w:rPr>
              <w:t>Domain</w:t>
            </w:r>
          </w:p>
        </w:tc>
        <w:tc>
          <w:tcPr>
            <w:tcW w:type="dxa" w:w="2880"/>
          </w:tcPr>
          <w:p>
            <w:r>
              <w:rPr>
                <w:b/>
                <w:sz w:val="18"/>
              </w:rPr>
              <w:t>Weight</w:t>
            </w:r>
          </w:p>
        </w:tc>
        <w:tc>
          <w:tcPr>
            <w:tcW w:type="dxa" w:w="2880"/>
          </w:tcPr>
          <w:p>
            <w:r>
              <w:rPr>
                <w:b/>
                <w:sz w:val="18"/>
              </w:rPr>
              <w:t>Program Coverage</w:t>
            </w:r>
          </w:p>
        </w:tc>
      </w:tr>
      <w:tr>
        <w:tc>
          <w:tcPr>
            <w:tcW w:type="dxa" w:w="2880"/>
          </w:tcPr>
          <w:p>
            <w:r/>
            <w:r>
              <w:rPr>
                <w:rFonts w:ascii="Calibri" w:hAnsi="Calibri"/>
                <w:sz w:val="18"/>
              </w:rPr>
              <w:t>Safety and Compliance</w:t>
            </w:r>
          </w:p>
        </w:tc>
        <w:tc>
          <w:tcPr>
            <w:tcW w:type="dxa" w:w="2880"/>
          </w:tcPr>
          <w:p>
            <w:r/>
            <w:r>
              <w:rPr>
                <w:rFonts w:ascii="Calibri" w:hAnsi="Calibri"/>
                <w:sz w:val="18"/>
              </w:rPr>
              <w:t>22%</w:t>
            </w:r>
          </w:p>
        </w:tc>
        <w:tc>
          <w:tcPr>
            <w:tcW w:type="dxa" w:w="2880"/>
          </w:tcPr>
          <w:p>
            <w:r/>
            <w:r>
              <w:rPr>
                <w:rFonts w:ascii="Calibri" w:hAnsi="Calibri"/>
                <w:sz w:val="18"/>
              </w:rPr>
              <w:t>Modules 1, 2</w:t>
            </w:r>
          </w:p>
        </w:tc>
      </w:tr>
      <w:tr>
        <w:tc>
          <w:tcPr>
            <w:tcW w:type="dxa" w:w="2880"/>
          </w:tcPr>
          <w:p>
            <w:r/>
            <w:r>
              <w:rPr>
                <w:rFonts w:ascii="Calibri" w:hAnsi="Calibri"/>
                <w:sz w:val="18"/>
              </w:rPr>
              <w:t>Patient Preparation</w:t>
            </w:r>
          </w:p>
        </w:tc>
        <w:tc>
          <w:tcPr>
            <w:tcW w:type="dxa" w:w="2880"/>
          </w:tcPr>
          <w:p>
            <w:r/>
            <w:r>
              <w:rPr>
                <w:rFonts w:ascii="Calibri" w:hAnsi="Calibri"/>
                <w:sz w:val="18"/>
              </w:rPr>
              <w:t>30%</w:t>
            </w:r>
          </w:p>
        </w:tc>
        <w:tc>
          <w:tcPr>
            <w:tcW w:type="dxa" w:w="2880"/>
          </w:tcPr>
          <w:p>
            <w:r/>
            <w:r>
              <w:rPr>
                <w:rFonts w:ascii="Calibri" w:hAnsi="Calibri"/>
                <w:sz w:val="18"/>
              </w:rPr>
              <w:t>Modules 1, 3</w:t>
            </w:r>
          </w:p>
        </w:tc>
      </w:tr>
      <w:tr>
        <w:tc>
          <w:tcPr>
            <w:tcW w:type="dxa" w:w="2880"/>
          </w:tcPr>
          <w:p>
            <w:r/>
            <w:r>
              <w:rPr>
                <w:rFonts w:ascii="Calibri" w:hAnsi="Calibri"/>
                <w:sz w:val="18"/>
              </w:rPr>
              <w:t>Routine Blood Collections</w:t>
            </w:r>
          </w:p>
        </w:tc>
        <w:tc>
          <w:tcPr>
            <w:tcW w:type="dxa" w:w="2880"/>
          </w:tcPr>
          <w:p>
            <w:r/>
            <w:r>
              <w:rPr>
                <w:rFonts w:ascii="Calibri" w:hAnsi="Calibri"/>
                <w:sz w:val="18"/>
              </w:rPr>
              <w:t>26%</w:t>
            </w:r>
          </w:p>
        </w:tc>
        <w:tc>
          <w:tcPr>
            <w:tcW w:type="dxa" w:w="2880"/>
          </w:tcPr>
          <w:p>
            <w:r/>
            <w:r>
              <w:rPr>
                <w:rFonts w:ascii="Calibri" w:hAnsi="Calibri"/>
                <w:sz w:val="18"/>
              </w:rPr>
              <w:t>Modules 1, 4</w:t>
            </w:r>
          </w:p>
        </w:tc>
      </w:tr>
      <w:tr>
        <w:tc>
          <w:tcPr>
            <w:tcW w:type="dxa" w:w="2880"/>
          </w:tcPr>
          <w:p>
            <w:r/>
            <w:r>
              <w:rPr>
                <w:rFonts w:ascii="Calibri" w:hAnsi="Calibri"/>
                <w:sz w:val="18"/>
              </w:rPr>
              <w:t>Special Collections</w:t>
            </w:r>
          </w:p>
        </w:tc>
        <w:tc>
          <w:tcPr>
            <w:tcW w:type="dxa" w:w="2880"/>
          </w:tcPr>
          <w:p>
            <w:r/>
            <w:r>
              <w:rPr>
                <w:rFonts w:ascii="Calibri" w:hAnsi="Calibri"/>
                <w:sz w:val="18"/>
              </w:rPr>
              <w:t>10%</w:t>
            </w:r>
          </w:p>
        </w:tc>
        <w:tc>
          <w:tcPr>
            <w:tcW w:type="dxa" w:w="2880"/>
          </w:tcPr>
          <w:p>
            <w:r/>
            <w:r>
              <w:rPr>
                <w:rFonts w:ascii="Calibri" w:hAnsi="Calibri"/>
                <w:sz w:val="18"/>
              </w:rPr>
              <w:t>Module 5</w:t>
            </w:r>
          </w:p>
        </w:tc>
      </w:tr>
      <w:tr>
        <w:tc>
          <w:tcPr>
            <w:tcW w:type="dxa" w:w="2880"/>
          </w:tcPr>
          <w:p>
            <w:r/>
            <w:r>
              <w:rPr>
                <w:rFonts w:ascii="Calibri" w:hAnsi="Calibri"/>
                <w:sz w:val="18"/>
              </w:rPr>
              <w:t>Specimen Handling, Transport, and Processing</w:t>
            </w:r>
          </w:p>
        </w:tc>
        <w:tc>
          <w:tcPr>
            <w:tcW w:type="dxa" w:w="2880"/>
          </w:tcPr>
          <w:p>
            <w:r/>
            <w:r>
              <w:rPr>
                <w:rFonts w:ascii="Calibri" w:hAnsi="Calibri"/>
                <w:sz w:val="18"/>
              </w:rPr>
              <w:t>12%</w:t>
            </w:r>
          </w:p>
        </w:tc>
        <w:tc>
          <w:tcPr>
            <w:tcW w:type="dxa" w:w="2880"/>
          </w:tcPr>
          <w:p>
            <w:r/>
            <w:r>
              <w:rPr>
                <w:rFonts w:ascii="Calibri" w:hAnsi="Calibri"/>
                <w:sz w:val="18"/>
              </w:rPr>
              <w:t>Module 6</w:t>
            </w:r>
          </w:p>
        </w:tc>
      </w:tr>
    </w:tbl>
    <w:p>
      <w:pPr>
        <w:pStyle w:val="Heading2"/>
      </w:pPr>
      <w:r>
        <w:t>5.2 ASCP Phlebotomy Technician (PBT)</w:t>
      </w:r>
    </w:p>
    <w:p>
      <w:r>
        <w:t>The ASCP PBT exam consists of 80 questions across 6 content domains. The program includes a full-length 80-question practice exam:</w:t>
      </w:r>
    </w:p>
    <w:tbl>
      <w:tblPr>
        <w:tblStyle w:val="TableGrid"/>
        <w:tblW w:type="auto" w:w="0"/>
        <w:jc w:val="center"/>
        <w:tblLook w:firstColumn="1" w:firstRow="1" w:lastColumn="0" w:lastRow="0" w:noHBand="0" w:noVBand="1" w:val="04A0"/>
      </w:tblPr>
      <w:tblGrid>
        <w:gridCol w:w="2880"/>
        <w:gridCol w:w="2880"/>
        <w:gridCol w:w="2880"/>
      </w:tblGrid>
      <w:tr>
        <w:tc>
          <w:tcPr>
            <w:tcW w:type="dxa" w:w="2880"/>
          </w:tcPr>
          <w:p>
            <w:r>
              <w:rPr>
                <w:b/>
                <w:sz w:val="18"/>
              </w:rPr>
              <w:t>Domain</w:t>
            </w:r>
          </w:p>
        </w:tc>
        <w:tc>
          <w:tcPr>
            <w:tcW w:type="dxa" w:w="2880"/>
          </w:tcPr>
          <w:p>
            <w:r>
              <w:rPr>
                <w:b/>
                <w:sz w:val="18"/>
              </w:rPr>
              <w:t>Weight</w:t>
            </w:r>
          </w:p>
        </w:tc>
        <w:tc>
          <w:tcPr>
            <w:tcW w:type="dxa" w:w="2880"/>
          </w:tcPr>
          <w:p>
            <w:r>
              <w:rPr>
                <w:b/>
                <w:sz w:val="18"/>
              </w:rPr>
              <w:t>Program Coverage</w:t>
            </w:r>
          </w:p>
        </w:tc>
      </w:tr>
      <w:tr>
        <w:tc>
          <w:tcPr>
            <w:tcW w:type="dxa" w:w="2880"/>
          </w:tcPr>
          <w:p>
            <w:r/>
            <w:r>
              <w:rPr>
                <w:rFonts w:ascii="Calibri" w:hAnsi="Calibri"/>
                <w:sz w:val="18"/>
              </w:rPr>
              <w:t>Circulatory System</w:t>
            </w:r>
          </w:p>
        </w:tc>
        <w:tc>
          <w:tcPr>
            <w:tcW w:type="dxa" w:w="2880"/>
          </w:tcPr>
          <w:p>
            <w:r/>
            <w:r>
              <w:rPr>
                <w:rFonts w:ascii="Calibri" w:hAnsi="Calibri"/>
                <w:sz w:val="18"/>
              </w:rPr>
              <w:t>8%</w:t>
            </w:r>
          </w:p>
        </w:tc>
        <w:tc>
          <w:tcPr>
            <w:tcW w:type="dxa" w:w="2880"/>
          </w:tcPr>
          <w:p>
            <w:r/>
            <w:r>
              <w:rPr>
                <w:rFonts w:ascii="Calibri" w:hAnsi="Calibri"/>
                <w:sz w:val="18"/>
              </w:rPr>
              <w:t>Module 1</w:t>
            </w:r>
          </w:p>
        </w:tc>
      </w:tr>
      <w:tr>
        <w:tc>
          <w:tcPr>
            <w:tcW w:type="dxa" w:w="2880"/>
          </w:tcPr>
          <w:p>
            <w:r/>
            <w:r>
              <w:rPr>
                <w:rFonts w:ascii="Calibri" w:hAnsi="Calibri"/>
                <w:sz w:val="18"/>
              </w:rPr>
              <w:t>Specimen Collection</w:t>
            </w:r>
          </w:p>
        </w:tc>
        <w:tc>
          <w:tcPr>
            <w:tcW w:type="dxa" w:w="2880"/>
          </w:tcPr>
          <w:p>
            <w:r/>
            <w:r>
              <w:rPr>
                <w:rFonts w:ascii="Calibri" w:hAnsi="Calibri"/>
                <w:sz w:val="18"/>
              </w:rPr>
              <w:t>46%</w:t>
            </w:r>
          </w:p>
        </w:tc>
        <w:tc>
          <w:tcPr>
            <w:tcW w:type="dxa" w:w="2880"/>
          </w:tcPr>
          <w:p>
            <w:r/>
            <w:r>
              <w:rPr>
                <w:rFonts w:ascii="Calibri" w:hAnsi="Calibri"/>
                <w:sz w:val="18"/>
              </w:rPr>
              <w:t>Modules 3, 4, 5</w:t>
            </w:r>
          </w:p>
        </w:tc>
      </w:tr>
      <w:tr>
        <w:tc>
          <w:tcPr>
            <w:tcW w:type="dxa" w:w="2880"/>
          </w:tcPr>
          <w:p>
            <w:r/>
            <w:r>
              <w:rPr>
                <w:rFonts w:ascii="Calibri" w:hAnsi="Calibri"/>
                <w:sz w:val="18"/>
              </w:rPr>
              <w:t>Specimen Processing &amp; Handling</w:t>
            </w:r>
          </w:p>
        </w:tc>
        <w:tc>
          <w:tcPr>
            <w:tcW w:type="dxa" w:w="2880"/>
          </w:tcPr>
          <w:p>
            <w:r/>
            <w:r>
              <w:rPr>
                <w:rFonts w:ascii="Calibri" w:hAnsi="Calibri"/>
                <w:sz w:val="18"/>
              </w:rPr>
              <w:t>10%</w:t>
            </w:r>
          </w:p>
        </w:tc>
        <w:tc>
          <w:tcPr>
            <w:tcW w:type="dxa" w:w="2880"/>
          </w:tcPr>
          <w:p>
            <w:r/>
            <w:r>
              <w:rPr>
                <w:rFonts w:ascii="Calibri" w:hAnsi="Calibri"/>
                <w:sz w:val="18"/>
              </w:rPr>
              <w:t>Module 6</w:t>
            </w:r>
          </w:p>
        </w:tc>
      </w:tr>
      <w:tr>
        <w:tc>
          <w:tcPr>
            <w:tcW w:type="dxa" w:w="2880"/>
          </w:tcPr>
          <w:p>
            <w:r/>
            <w:r>
              <w:rPr>
                <w:rFonts w:ascii="Calibri" w:hAnsi="Calibri"/>
                <w:sz w:val="18"/>
              </w:rPr>
              <w:t>Non-Blood Specimens</w:t>
            </w:r>
          </w:p>
        </w:tc>
        <w:tc>
          <w:tcPr>
            <w:tcW w:type="dxa" w:w="2880"/>
          </w:tcPr>
          <w:p>
            <w:r/>
            <w:r>
              <w:rPr>
                <w:rFonts w:ascii="Calibri" w:hAnsi="Calibri"/>
                <w:sz w:val="18"/>
              </w:rPr>
              <w:t>4%</w:t>
            </w:r>
          </w:p>
        </w:tc>
        <w:tc>
          <w:tcPr>
            <w:tcW w:type="dxa" w:w="2880"/>
          </w:tcPr>
          <w:p>
            <w:r/>
            <w:r>
              <w:rPr>
                <w:rFonts w:ascii="Calibri" w:hAnsi="Calibri"/>
                <w:sz w:val="18"/>
              </w:rPr>
              <w:t>Module 6</w:t>
            </w:r>
          </w:p>
        </w:tc>
      </w:tr>
      <w:tr>
        <w:tc>
          <w:tcPr>
            <w:tcW w:type="dxa" w:w="2880"/>
          </w:tcPr>
          <w:p>
            <w:r/>
            <w:r>
              <w:rPr>
                <w:rFonts w:ascii="Calibri" w:hAnsi="Calibri"/>
                <w:sz w:val="18"/>
              </w:rPr>
              <w:t>Laboratory Operations</w:t>
            </w:r>
          </w:p>
        </w:tc>
        <w:tc>
          <w:tcPr>
            <w:tcW w:type="dxa" w:w="2880"/>
          </w:tcPr>
          <w:p>
            <w:r/>
            <w:r>
              <w:rPr>
                <w:rFonts w:ascii="Calibri" w:hAnsi="Calibri"/>
                <w:sz w:val="18"/>
              </w:rPr>
              <w:t>10%</w:t>
            </w:r>
          </w:p>
        </w:tc>
        <w:tc>
          <w:tcPr>
            <w:tcW w:type="dxa" w:w="2880"/>
          </w:tcPr>
          <w:p>
            <w:r/>
            <w:r>
              <w:rPr>
                <w:rFonts w:ascii="Calibri" w:hAnsi="Calibri"/>
                <w:sz w:val="18"/>
              </w:rPr>
              <w:t>Modules 2, 6</w:t>
            </w:r>
          </w:p>
        </w:tc>
      </w:tr>
      <w:tr>
        <w:tc>
          <w:tcPr>
            <w:tcW w:type="dxa" w:w="2880"/>
          </w:tcPr>
          <w:p>
            <w:r/>
            <w:r>
              <w:rPr>
                <w:rFonts w:ascii="Calibri" w:hAnsi="Calibri"/>
                <w:sz w:val="18"/>
              </w:rPr>
              <w:t>Patient Preparation &amp; Safety</w:t>
            </w:r>
          </w:p>
        </w:tc>
        <w:tc>
          <w:tcPr>
            <w:tcW w:type="dxa" w:w="2880"/>
          </w:tcPr>
          <w:p>
            <w:r/>
            <w:r>
              <w:rPr>
                <w:rFonts w:ascii="Calibri" w:hAnsi="Calibri"/>
                <w:sz w:val="18"/>
              </w:rPr>
              <w:t>22%</w:t>
            </w:r>
          </w:p>
        </w:tc>
        <w:tc>
          <w:tcPr>
            <w:tcW w:type="dxa" w:w="2880"/>
          </w:tcPr>
          <w:p>
            <w:r/>
            <w:r>
              <w:rPr>
                <w:rFonts w:ascii="Calibri" w:hAnsi="Calibri"/>
                <w:sz w:val="18"/>
              </w:rPr>
              <w:t>Modules 2, 3</w:t>
            </w:r>
          </w:p>
        </w:tc>
      </w:tr>
    </w:tbl>
    <w:p>
      <w:r>
        <w:t>Coverage analysis based on exam content mapping (78 exam topics analyzed): 76 topics fully covered, 2 topics with supplemental coverage needed. See Certification-Exam-Content-Map.xlsx and Exam-Course-Coverage-Report.xlsx for detailed gap analysis.</w:t>
      </w:r>
    </w:p>
    <w:p>
      <w:r>
        <w:br w:type="page"/>
      </w:r>
    </w:p>
    <w:p>
      <w:pPr>
        <w:pStyle w:val="Heading1"/>
      </w:pPr>
      <w:r>
        <w:t>6. Complete Asset Inventory</w:t>
      </w:r>
    </w:p>
    <w:tbl>
      <w:tblPr>
        <w:tblStyle w:val="TableGrid"/>
        <w:tblW w:type="auto" w:w="0"/>
        <w:jc w:val="center"/>
        <w:tblLook w:firstColumn="1" w:firstRow="1" w:lastColumn="0" w:lastRow="0" w:noHBand="0" w:noVBand="1" w:val="04A0"/>
      </w:tblPr>
      <w:tblGrid>
        <w:gridCol w:w="2880"/>
        <w:gridCol w:w="2880"/>
        <w:gridCol w:w="2880"/>
      </w:tblGrid>
      <w:tr>
        <w:tc>
          <w:tcPr>
            <w:tcW w:type="dxa" w:w="2880"/>
          </w:tcPr>
          <w:p>
            <w:r>
              <w:rPr>
                <w:b/>
                <w:sz w:val="18"/>
              </w:rPr>
              <w:t>File / Asset</w:t>
            </w:r>
          </w:p>
        </w:tc>
        <w:tc>
          <w:tcPr>
            <w:tcW w:type="dxa" w:w="2880"/>
          </w:tcPr>
          <w:p>
            <w:r>
              <w:rPr>
                <w:b/>
                <w:sz w:val="18"/>
              </w:rPr>
              <w:t>Description</w:t>
            </w:r>
          </w:p>
        </w:tc>
        <w:tc>
          <w:tcPr>
            <w:tcW w:type="dxa" w:w="2880"/>
          </w:tcPr>
          <w:p>
            <w:r>
              <w:rPr>
                <w:b/>
                <w:sz w:val="18"/>
              </w:rPr>
              <w:t>Size/Type</w:t>
            </w:r>
          </w:p>
        </w:tc>
      </w:tr>
      <w:tr>
        <w:tc>
          <w:tcPr>
            <w:tcW w:type="dxa" w:w="2880"/>
            <w:shd w:fill="D5E8F0" w:val="clear"/>
          </w:tcPr>
          <w:p>
            <w:r/>
            <w:r>
              <w:rPr>
                <w:rFonts w:ascii="Calibri" w:hAnsi="Calibri"/>
                <w:b/>
                <w:sz w:val="18"/>
              </w:rPr>
              <w:t>Core Modules</w:t>
            </w:r>
          </w:p>
        </w:tc>
        <w:tc>
          <w:tcPr>
            <w:tcW w:type="dxa" w:w="2880"/>
            <w:shd w:fill="D5E8F0" w:val="clear"/>
          </w:tcPr>
          <w:p>
            <w:r/>
            <w:r>
              <w:rPr>
                <w:rFonts w:ascii="Calibri" w:hAnsi="Calibri"/>
                <w:b/>
                <w:sz w:val="18"/>
              </w:rPr>
            </w:r>
          </w:p>
        </w:tc>
        <w:tc>
          <w:tcPr>
            <w:tcW w:type="dxa" w:w="2880"/>
            <w:shd w:fill="D5E8F0" w:val="clear"/>
          </w:tcPr>
          <w:p>
            <w:r/>
            <w:r>
              <w:rPr>
                <w:rFonts w:ascii="Calibri" w:hAnsi="Calibri"/>
                <w:b/>
                <w:sz w:val="18"/>
              </w:rPr>
            </w:r>
          </w:p>
        </w:tc>
      </w:tr>
      <w:tr>
        <w:tc>
          <w:tcPr>
            <w:tcW w:type="dxa" w:w="2880"/>
          </w:tcPr>
          <w:p>
            <w:r/>
            <w:r>
              <w:rPr>
                <w:rFonts w:ascii="Calibri" w:hAnsi="Calibri"/>
                <w:sz w:val="18"/>
              </w:rPr>
              <w:t>Phlebotomy-Module-1-Fundamentals.html</w:t>
            </w:r>
          </w:p>
        </w:tc>
        <w:tc>
          <w:tcPr>
            <w:tcW w:type="dxa" w:w="2880"/>
          </w:tcPr>
          <w:p>
            <w:r/>
            <w:r>
              <w:rPr>
                <w:rFonts w:ascii="Calibri" w:hAnsi="Calibri"/>
                <w:sz w:val="18"/>
              </w:rPr>
              <w:t>Module 1: Fundamentals</w:t>
            </w:r>
          </w:p>
        </w:tc>
        <w:tc>
          <w:tcPr>
            <w:tcW w:type="dxa" w:w="2880"/>
          </w:tcPr>
          <w:p>
            <w:r/>
            <w:r>
              <w:rPr>
                <w:rFonts w:ascii="Calibri" w:hAnsi="Calibri"/>
                <w:sz w:val="18"/>
              </w:rPr>
              <w:t>161 KB</w:t>
            </w:r>
          </w:p>
        </w:tc>
      </w:tr>
      <w:tr>
        <w:tc>
          <w:tcPr>
            <w:tcW w:type="dxa" w:w="2880"/>
          </w:tcPr>
          <w:p>
            <w:r/>
            <w:r>
              <w:rPr>
                <w:rFonts w:ascii="Calibri" w:hAnsi="Calibri"/>
                <w:sz w:val="18"/>
              </w:rPr>
              <w:t>Phlebotomy-Module-2-Safety.html</w:t>
            </w:r>
          </w:p>
        </w:tc>
        <w:tc>
          <w:tcPr>
            <w:tcW w:type="dxa" w:w="2880"/>
          </w:tcPr>
          <w:p>
            <w:r/>
            <w:r>
              <w:rPr>
                <w:rFonts w:ascii="Calibri" w:hAnsi="Calibri"/>
                <w:sz w:val="18"/>
              </w:rPr>
              <w:t>Module 2: Compliance &amp; Safety</w:t>
            </w:r>
          </w:p>
        </w:tc>
        <w:tc>
          <w:tcPr>
            <w:tcW w:type="dxa" w:w="2880"/>
          </w:tcPr>
          <w:p>
            <w:r/>
            <w:r>
              <w:rPr>
                <w:rFonts w:ascii="Calibri" w:hAnsi="Calibri"/>
                <w:sz w:val="18"/>
              </w:rPr>
              <w:t>173 KB</w:t>
            </w:r>
          </w:p>
        </w:tc>
      </w:tr>
      <w:tr>
        <w:tc>
          <w:tcPr>
            <w:tcW w:type="dxa" w:w="2880"/>
          </w:tcPr>
          <w:p>
            <w:r/>
            <w:r>
              <w:rPr>
                <w:rFonts w:ascii="Calibri" w:hAnsi="Calibri"/>
                <w:sz w:val="18"/>
              </w:rPr>
              <w:t>Phlebotomy-Module-3-Patient-Prep.html</w:t>
            </w:r>
          </w:p>
        </w:tc>
        <w:tc>
          <w:tcPr>
            <w:tcW w:type="dxa" w:w="2880"/>
          </w:tcPr>
          <w:p>
            <w:r/>
            <w:r>
              <w:rPr>
                <w:rFonts w:ascii="Calibri" w:hAnsi="Calibri"/>
                <w:sz w:val="18"/>
              </w:rPr>
              <w:t>Module 3: Patient Preparation</w:t>
            </w:r>
          </w:p>
        </w:tc>
        <w:tc>
          <w:tcPr>
            <w:tcW w:type="dxa" w:w="2880"/>
          </w:tcPr>
          <w:p>
            <w:r/>
            <w:r>
              <w:rPr>
                <w:rFonts w:ascii="Calibri" w:hAnsi="Calibri"/>
                <w:sz w:val="18"/>
              </w:rPr>
              <w:t>147 KB</w:t>
            </w:r>
          </w:p>
        </w:tc>
      </w:tr>
      <w:tr>
        <w:tc>
          <w:tcPr>
            <w:tcW w:type="dxa" w:w="2880"/>
          </w:tcPr>
          <w:p>
            <w:r/>
            <w:r>
              <w:rPr>
                <w:rFonts w:ascii="Calibri" w:hAnsi="Calibri"/>
                <w:sz w:val="18"/>
              </w:rPr>
              <w:t>Phlebotomy-Module-4-Collection.html</w:t>
            </w:r>
          </w:p>
        </w:tc>
        <w:tc>
          <w:tcPr>
            <w:tcW w:type="dxa" w:w="2880"/>
          </w:tcPr>
          <w:p>
            <w:r/>
            <w:r>
              <w:rPr>
                <w:rFonts w:ascii="Calibri" w:hAnsi="Calibri"/>
                <w:sz w:val="18"/>
              </w:rPr>
              <w:t>Module 4: Routine Collection</w:t>
            </w:r>
          </w:p>
        </w:tc>
        <w:tc>
          <w:tcPr>
            <w:tcW w:type="dxa" w:w="2880"/>
          </w:tcPr>
          <w:p>
            <w:r/>
            <w:r>
              <w:rPr>
                <w:rFonts w:ascii="Calibri" w:hAnsi="Calibri"/>
                <w:sz w:val="18"/>
              </w:rPr>
              <w:t>154 KB</w:t>
            </w:r>
          </w:p>
        </w:tc>
      </w:tr>
      <w:tr>
        <w:tc>
          <w:tcPr>
            <w:tcW w:type="dxa" w:w="2880"/>
          </w:tcPr>
          <w:p>
            <w:r/>
            <w:r>
              <w:rPr>
                <w:rFonts w:ascii="Calibri" w:hAnsi="Calibri"/>
                <w:sz w:val="18"/>
              </w:rPr>
              <w:t>Phlebotomy-Module-5-Special.html</w:t>
            </w:r>
          </w:p>
        </w:tc>
        <w:tc>
          <w:tcPr>
            <w:tcW w:type="dxa" w:w="2880"/>
          </w:tcPr>
          <w:p>
            <w:r/>
            <w:r>
              <w:rPr>
                <w:rFonts w:ascii="Calibri" w:hAnsi="Calibri"/>
                <w:sz w:val="18"/>
              </w:rPr>
              <w:t>Module 5: Special Collections</w:t>
            </w:r>
          </w:p>
        </w:tc>
        <w:tc>
          <w:tcPr>
            <w:tcW w:type="dxa" w:w="2880"/>
          </w:tcPr>
          <w:p>
            <w:r/>
            <w:r>
              <w:rPr>
                <w:rFonts w:ascii="Calibri" w:hAnsi="Calibri"/>
                <w:sz w:val="18"/>
              </w:rPr>
              <w:t>123 KB</w:t>
            </w:r>
          </w:p>
        </w:tc>
      </w:tr>
      <w:tr>
        <w:tc>
          <w:tcPr>
            <w:tcW w:type="dxa" w:w="2880"/>
          </w:tcPr>
          <w:p>
            <w:r/>
            <w:r>
              <w:rPr>
                <w:rFonts w:ascii="Calibri" w:hAnsi="Calibri"/>
                <w:sz w:val="18"/>
              </w:rPr>
              <w:t>Phlebotomy-Module-6-Processing.html</w:t>
            </w:r>
          </w:p>
        </w:tc>
        <w:tc>
          <w:tcPr>
            <w:tcW w:type="dxa" w:w="2880"/>
          </w:tcPr>
          <w:p>
            <w:r/>
            <w:r>
              <w:rPr>
                <w:rFonts w:ascii="Calibri" w:hAnsi="Calibri"/>
                <w:sz w:val="18"/>
              </w:rPr>
              <w:t>Module 6: Processing &amp; Quality</w:t>
            </w:r>
          </w:p>
        </w:tc>
        <w:tc>
          <w:tcPr>
            <w:tcW w:type="dxa" w:w="2880"/>
          </w:tcPr>
          <w:p>
            <w:r/>
            <w:r>
              <w:rPr>
                <w:rFonts w:ascii="Calibri" w:hAnsi="Calibri"/>
                <w:sz w:val="18"/>
              </w:rPr>
              <w:t>155 KB</w:t>
            </w:r>
          </w:p>
        </w:tc>
      </w:tr>
      <w:tr>
        <w:tc>
          <w:tcPr>
            <w:tcW w:type="dxa" w:w="2880"/>
            <w:shd w:fill="D5E8F0" w:val="clear"/>
          </w:tcPr>
          <w:p>
            <w:r/>
            <w:r>
              <w:rPr>
                <w:rFonts w:ascii="Calibri" w:hAnsi="Calibri"/>
                <w:b/>
                <w:sz w:val="18"/>
              </w:rPr>
              <w:t>Portals &amp; Navigation</w:t>
            </w:r>
          </w:p>
        </w:tc>
        <w:tc>
          <w:tcPr>
            <w:tcW w:type="dxa" w:w="2880"/>
            <w:shd w:fill="D5E8F0" w:val="clear"/>
          </w:tcPr>
          <w:p>
            <w:r/>
            <w:r>
              <w:rPr>
                <w:rFonts w:ascii="Calibri" w:hAnsi="Calibri"/>
                <w:b/>
                <w:sz w:val="18"/>
              </w:rPr>
            </w:r>
          </w:p>
        </w:tc>
        <w:tc>
          <w:tcPr>
            <w:tcW w:type="dxa" w:w="2880"/>
            <w:shd w:fill="D5E8F0" w:val="clear"/>
          </w:tcPr>
          <w:p>
            <w:r/>
            <w:r>
              <w:rPr>
                <w:rFonts w:ascii="Calibri" w:hAnsi="Calibri"/>
                <w:b/>
                <w:sz w:val="18"/>
              </w:rPr>
            </w:r>
          </w:p>
        </w:tc>
      </w:tr>
      <w:tr>
        <w:tc>
          <w:tcPr>
            <w:tcW w:type="dxa" w:w="2880"/>
          </w:tcPr>
          <w:p>
            <w:r/>
            <w:r>
              <w:rPr>
                <w:rFonts w:ascii="Calibri" w:hAnsi="Calibri"/>
                <w:sz w:val="18"/>
              </w:rPr>
              <w:t>Phlebotomy-Course-Hub.html</w:t>
            </w:r>
          </w:p>
        </w:tc>
        <w:tc>
          <w:tcPr>
            <w:tcW w:type="dxa" w:w="2880"/>
          </w:tcPr>
          <w:p>
            <w:r/>
            <w:r>
              <w:rPr>
                <w:rFonts w:ascii="Calibri" w:hAnsi="Calibri"/>
                <w:sz w:val="18"/>
              </w:rPr>
              <w:t>Student Dashboard / Journey Tracker</w:t>
            </w:r>
          </w:p>
        </w:tc>
        <w:tc>
          <w:tcPr>
            <w:tcW w:type="dxa" w:w="2880"/>
          </w:tcPr>
          <w:p>
            <w:r/>
            <w:r>
              <w:rPr>
                <w:rFonts w:ascii="Calibri" w:hAnsi="Calibri"/>
                <w:sz w:val="18"/>
              </w:rPr>
              <w:t>39 KB</w:t>
            </w:r>
          </w:p>
        </w:tc>
      </w:tr>
      <w:tr>
        <w:tc>
          <w:tcPr>
            <w:tcW w:type="dxa" w:w="2880"/>
          </w:tcPr>
          <w:p>
            <w:r/>
            <w:r>
              <w:rPr>
                <w:rFonts w:ascii="Calibri" w:hAnsi="Calibri"/>
                <w:sz w:val="18"/>
              </w:rPr>
              <w:t>Phlebotomy-Welcome-Portal.html</w:t>
            </w:r>
          </w:p>
        </w:tc>
        <w:tc>
          <w:tcPr>
            <w:tcW w:type="dxa" w:w="2880"/>
          </w:tcPr>
          <w:p>
            <w:r/>
            <w:r>
              <w:rPr>
                <w:rFonts w:ascii="Calibri" w:hAnsi="Calibri"/>
                <w:sz w:val="18"/>
              </w:rPr>
              <w:t>Student Onboarding Portal</w:t>
            </w:r>
          </w:p>
        </w:tc>
        <w:tc>
          <w:tcPr>
            <w:tcW w:type="dxa" w:w="2880"/>
          </w:tcPr>
          <w:p>
            <w:r/>
            <w:r>
              <w:rPr>
                <w:rFonts w:ascii="Calibri" w:hAnsi="Calibri"/>
                <w:sz w:val="18"/>
              </w:rPr>
              <w:t>45 KB</w:t>
            </w:r>
          </w:p>
        </w:tc>
      </w:tr>
      <w:tr>
        <w:tc>
          <w:tcPr>
            <w:tcW w:type="dxa" w:w="2880"/>
            <w:shd w:fill="D5E8F0" w:val="clear"/>
          </w:tcPr>
          <w:p>
            <w:r/>
            <w:r>
              <w:rPr>
                <w:rFonts w:ascii="Calibri" w:hAnsi="Calibri"/>
                <w:b/>
                <w:sz w:val="18"/>
              </w:rPr>
              <w:t>Study &amp; Assessment Tools</w:t>
            </w:r>
          </w:p>
        </w:tc>
        <w:tc>
          <w:tcPr>
            <w:tcW w:type="dxa" w:w="2880"/>
            <w:shd w:fill="D5E8F0" w:val="clear"/>
          </w:tcPr>
          <w:p>
            <w:r/>
            <w:r>
              <w:rPr>
                <w:rFonts w:ascii="Calibri" w:hAnsi="Calibri"/>
                <w:b/>
                <w:sz w:val="18"/>
              </w:rPr>
            </w:r>
          </w:p>
        </w:tc>
        <w:tc>
          <w:tcPr>
            <w:tcW w:type="dxa" w:w="2880"/>
            <w:shd w:fill="D5E8F0" w:val="clear"/>
          </w:tcPr>
          <w:p>
            <w:r/>
            <w:r>
              <w:rPr>
                <w:rFonts w:ascii="Calibri" w:hAnsi="Calibri"/>
                <w:b/>
                <w:sz w:val="18"/>
              </w:rPr>
            </w:r>
          </w:p>
        </w:tc>
      </w:tr>
      <w:tr>
        <w:tc>
          <w:tcPr>
            <w:tcW w:type="dxa" w:w="2880"/>
          </w:tcPr>
          <w:p>
            <w:r/>
            <w:r>
              <w:rPr>
                <w:rFonts w:ascii="Calibri" w:hAnsi="Calibri"/>
                <w:sz w:val="18"/>
              </w:rPr>
              <w:t>Phlebotomy-Flashcards.html</w:t>
            </w:r>
          </w:p>
        </w:tc>
        <w:tc>
          <w:tcPr>
            <w:tcW w:type="dxa" w:w="2880"/>
          </w:tcPr>
          <w:p>
            <w:r/>
            <w:r>
              <w:rPr>
                <w:rFonts w:ascii="Calibri" w:hAnsi="Calibri"/>
                <w:sz w:val="18"/>
              </w:rPr>
              <w:t>Interactive Flip Card Study Tool</w:t>
            </w:r>
          </w:p>
        </w:tc>
        <w:tc>
          <w:tcPr>
            <w:tcW w:type="dxa" w:w="2880"/>
          </w:tcPr>
          <w:p>
            <w:r/>
            <w:r>
              <w:rPr>
                <w:rFonts w:ascii="Calibri" w:hAnsi="Calibri"/>
                <w:sz w:val="18"/>
              </w:rPr>
              <w:t>71 KB</w:t>
            </w:r>
          </w:p>
        </w:tc>
      </w:tr>
      <w:tr>
        <w:tc>
          <w:tcPr>
            <w:tcW w:type="dxa" w:w="2880"/>
          </w:tcPr>
          <w:p>
            <w:r/>
            <w:r>
              <w:rPr>
                <w:rFonts w:ascii="Calibri" w:hAnsi="Calibri"/>
                <w:sz w:val="18"/>
              </w:rPr>
              <w:t>Phlebotomy-Glossary.html</w:t>
            </w:r>
          </w:p>
        </w:tc>
        <w:tc>
          <w:tcPr>
            <w:tcW w:type="dxa" w:w="2880"/>
          </w:tcPr>
          <w:p>
            <w:r/>
            <w:r>
              <w:rPr>
                <w:rFonts w:ascii="Calibri" w:hAnsi="Calibri"/>
                <w:sz w:val="18"/>
              </w:rPr>
              <w:t>Searchable Glossary with Module Filters</w:t>
            </w:r>
          </w:p>
        </w:tc>
        <w:tc>
          <w:tcPr>
            <w:tcW w:type="dxa" w:w="2880"/>
          </w:tcPr>
          <w:p>
            <w:r/>
            <w:r>
              <w:rPr>
                <w:rFonts w:ascii="Calibri" w:hAnsi="Calibri"/>
                <w:sz w:val="18"/>
              </w:rPr>
              <w:t>55 KB</w:t>
            </w:r>
          </w:p>
        </w:tc>
      </w:tr>
      <w:tr>
        <w:tc>
          <w:tcPr>
            <w:tcW w:type="dxa" w:w="2880"/>
          </w:tcPr>
          <w:p>
            <w:r/>
            <w:r>
              <w:rPr>
                <w:rFonts w:ascii="Calibri" w:hAnsi="Calibri"/>
                <w:sz w:val="18"/>
              </w:rPr>
              <w:t>Phlebotomy-Study-Resources.html</w:t>
            </w:r>
          </w:p>
        </w:tc>
        <w:tc>
          <w:tcPr>
            <w:tcW w:type="dxa" w:w="2880"/>
          </w:tcPr>
          <w:p>
            <w:r/>
            <w:r>
              <w:rPr>
                <w:rFonts w:ascii="Calibri" w:hAnsi="Calibri"/>
                <w:sz w:val="18"/>
              </w:rPr>
              <w:t>Curated Study Hub</w:t>
            </w:r>
          </w:p>
        </w:tc>
        <w:tc>
          <w:tcPr>
            <w:tcW w:type="dxa" w:w="2880"/>
          </w:tcPr>
          <w:p>
            <w:r/>
            <w:r>
              <w:rPr>
                <w:rFonts w:ascii="Calibri" w:hAnsi="Calibri"/>
                <w:sz w:val="18"/>
              </w:rPr>
              <w:t>43 KB</w:t>
            </w:r>
          </w:p>
        </w:tc>
      </w:tr>
      <w:tr>
        <w:tc>
          <w:tcPr>
            <w:tcW w:type="dxa" w:w="2880"/>
          </w:tcPr>
          <w:p>
            <w:r/>
            <w:r>
              <w:rPr>
                <w:rFonts w:ascii="Calibri" w:hAnsi="Calibri"/>
                <w:sz w:val="18"/>
              </w:rPr>
              <w:t>ASCP-PBT-Practice-Exam.html</w:t>
            </w:r>
          </w:p>
        </w:tc>
        <w:tc>
          <w:tcPr>
            <w:tcW w:type="dxa" w:w="2880"/>
          </w:tcPr>
          <w:p>
            <w:r/>
            <w:r>
              <w:rPr>
                <w:rFonts w:ascii="Calibri" w:hAnsi="Calibri"/>
                <w:sz w:val="18"/>
              </w:rPr>
              <w:t>Full Practice Exam (80 questions, 6 domains)</w:t>
            </w:r>
          </w:p>
        </w:tc>
        <w:tc>
          <w:tcPr>
            <w:tcW w:type="dxa" w:w="2880"/>
          </w:tcPr>
          <w:p>
            <w:r/>
            <w:r>
              <w:rPr>
                <w:rFonts w:ascii="Calibri" w:hAnsi="Calibri"/>
                <w:sz w:val="18"/>
              </w:rPr>
              <w:t>230 KB</w:t>
            </w:r>
          </w:p>
        </w:tc>
      </w:tr>
      <w:tr>
        <w:tc>
          <w:tcPr>
            <w:tcW w:type="dxa" w:w="2880"/>
          </w:tcPr>
          <w:p>
            <w:r/>
            <w:r>
              <w:rPr>
                <w:rFonts w:ascii="Calibri" w:hAnsi="Calibri"/>
                <w:sz w:val="18"/>
              </w:rPr>
              <w:t>NHA-CPT-Practice-Exam.html</w:t>
            </w:r>
          </w:p>
        </w:tc>
        <w:tc>
          <w:tcPr>
            <w:tcW w:type="dxa" w:w="2880"/>
          </w:tcPr>
          <w:p>
            <w:r/>
            <w:r>
              <w:rPr>
                <w:rFonts w:ascii="Calibri" w:hAnsi="Calibri"/>
                <w:sz w:val="18"/>
              </w:rPr>
              <w:t>Full Practice Exam (100 questions, 5 domains)</w:t>
            </w:r>
          </w:p>
        </w:tc>
        <w:tc>
          <w:tcPr>
            <w:tcW w:type="dxa" w:w="2880"/>
          </w:tcPr>
          <w:p>
            <w:r/>
            <w:r>
              <w:rPr>
                <w:rFonts w:ascii="Calibri" w:hAnsi="Calibri"/>
                <w:sz w:val="18"/>
              </w:rPr>
              <w:t>271 KB</w:t>
            </w:r>
          </w:p>
        </w:tc>
      </w:tr>
      <w:tr>
        <w:tc>
          <w:tcPr>
            <w:tcW w:type="dxa" w:w="2880"/>
            <w:shd w:fill="D5E8F0" w:val="clear"/>
          </w:tcPr>
          <w:p>
            <w:r/>
            <w:r>
              <w:rPr>
                <w:rFonts w:ascii="Calibri" w:hAnsi="Calibri"/>
                <w:b/>
                <w:sz w:val="18"/>
              </w:rPr>
              <w:t>Games &amp; Interactive</w:t>
            </w:r>
          </w:p>
        </w:tc>
        <w:tc>
          <w:tcPr>
            <w:tcW w:type="dxa" w:w="2880"/>
            <w:shd w:fill="D5E8F0" w:val="clear"/>
          </w:tcPr>
          <w:p>
            <w:r/>
            <w:r>
              <w:rPr>
                <w:rFonts w:ascii="Calibri" w:hAnsi="Calibri"/>
                <w:b/>
                <w:sz w:val="18"/>
              </w:rPr>
            </w:r>
          </w:p>
        </w:tc>
        <w:tc>
          <w:tcPr>
            <w:tcW w:type="dxa" w:w="2880"/>
            <w:shd w:fill="D5E8F0" w:val="clear"/>
          </w:tcPr>
          <w:p>
            <w:r/>
            <w:r>
              <w:rPr>
                <w:rFonts w:ascii="Calibri" w:hAnsi="Calibri"/>
                <w:b/>
                <w:sz w:val="18"/>
              </w:rPr>
            </w:r>
          </w:p>
        </w:tc>
      </w:tr>
      <w:tr>
        <w:tc>
          <w:tcPr>
            <w:tcW w:type="dxa" w:w="2880"/>
          </w:tcPr>
          <w:p>
            <w:r/>
            <w:r>
              <w:rPr>
                <w:rFonts w:ascii="Calibri" w:hAnsi="Calibri"/>
                <w:sz w:val="18"/>
              </w:rPr>
              <w:t>Phlebotomy-Game-Trivia.html</w:t>
            </w:r>
          </w:p>
        </w:tc>
        <w:tc>
          <w:tcPr>
            <w:tcW w:type="dxa" w:w="2880"/>
          </w:tcPr>
          <w:p>
            <w:r/>
            <w:r>
              <w:rPr>
                <w:rFonts w:ascii="Calibri" w:hAnsi="Calibri"/>
                <w:sz w:val="18"/>
              </w:rPr>
              <w:t>Jeopardy-Style Trivia Game</w:t>
            </w:r>
          </w:p>
        </w:tc>
        <w:tc>
          <w:tcPr>
            <w:tcW w:type="dxa" w:w="2880"/>
          </w:tcPr>
          <w:p>
            <w:r/>
            <w:r>
              <w:rPr>
                <w:rFonts w:ascii="Calibri" w:hAnsi="Calibri"/>
                <w:sz w:val="18"/>
              </w:rPr>
              <w:t>71 KB</w:t>
            </w:r>
          </w:p>
        </w:tc>
      </w:tr>
      <w:tr>
        <w:tc>
          <w:tcPr>
            <w:tcW w:type="dxa" w:w="2880"/>
          </w:tcPr>
          <w:p>
            <w:r/>
            <w:r>
              <w:rPr>
                <w:rFonts w:ascii="Calibri" w:hAnsi="Calibri"/>
                <w:sz w:val="18"/>
              </w:rPr>
              <w:t>Phlebotomy-Word-Search.html</w:t>
            </w:r>
          </w:p>
        </w:tc>
        <w:tc>
          <w:tcPr>
            <w:tcW w:type="dxa" w:w="2880"/>
          </w:tcPr>
          <w:p>
            <w:r/>
            <w:r>
              <w:rPr>
                <w:rFonts w:ascii="Calibri" w:hAnsi="Calibri"/>
                <w:sz w:val="18"/>
              </w:rPr>
              <w:t>Vocabulary Word Search</w:t>
            </w:r>
          </w:p>
        </w:tc>
        <w:tc>
          <w:tcPr>
            <w:tcW w:type="dxa" w:w="2880"/>
          </w:tcPr>
          <w:p>
            <w:r/>
            <w:r>
              <w:rPr>
                <w:rFonts w:ascii="Calibri" w:hAnsi="Calibri"/>
                <w:sz w:val="18"/>
              </w:rPr>
              <w:t>41 KB</w:t>
            </w:r>
          </w:p>
        </w:tc>
      </w:tr>
      <w:tr>
        <w:tc>
          <w:tcPr>
            <w:tcW w:type="dxa" w:w="2880"/>
          </w:tcPr>
          <w:p>
            <w:r/>
            <w:r>
              <w:rPr>
                <w:rFonts w:ascii="Calibri" w:hAnsi="Calibri"/>
                <w:sz w:val="18"/>
              </w:rPr>
              <w:t>Phlebotomy-Crossword.html</w:t>
            </w:r>
          </w:p>
        </w:tc>
        <w:tc>
          <w:tcPr>
            <w:tcW w:type="dxa" w:w="2880"/>
          </w:tcPr>
          <w:p>
            <w:r/>
            <w:r>
              <w:rPr>
                <w:rFonts w:ascii="Calibri" w:hAnsi="Calibri"/>
                <w:sz w:val="18"/>
              </w:rPr>
              <w:t>Interactive Crossword Puzzle</w:t>
            </w:r>
          </w:p>
        </w:tc>
        <w:tc>
          <w:tcPr>
            <w:tcW w:type="dxa" w:w="2880"/>
          </w:tcPr>
          <w:p>
            <w:r/>
            <w:r>
              <w:rPr>
                <w:rFonts w:ascii="Calibri" w:hAnsi="Calibri"/>
                <w:sz w:val="18"/>
              </w:rPr>
              <w:t>43 KB</w:t>
            </w:r>
          </w:p>
        </w:tc>
      </w:tr>
      <w:tr>
        <w:tc>
          <w:tcPr>
            <w:tcW w:type="dxa" w:w="2880"/>
          </w:tcPr>
          <w:p>
            <w:r/>
            <w:r>
              <w:rPr>
                <w:rFonts w:ascii="Calibri" w:hAnsi="Calibri"/>
                <w:sz w:val="18"/>
              </w:rPr>
              <w:t>Phlebotomy-Clinical-Tours.html</w:t>
            </w:r>
          </w:p>
        </w:tc>
        <w:tc>
          <w:tcPr>
            <w:tcW w:type="dxa" w:w="2880"/>
          </w:tcPr>
          <w:p>
            <w:r/>
            <w:r>
              <w:rPr>
                <w:rFonts w:ascii="Calibri" w:hAnsi="Calibri"/>
                <w:sz w:val="18"/>
              </w:rPr>
              <w:t>Virtual Clinical Environment Tours (8 sites)</w:t>
            </w:r>
          </w:p>
        </w:tc>
        <w:tc>
          <w:tcPr>
            <w:tcW w:type="dxa" w:w="2880"/>
          </w:tcPr>
          <w:p>
            <w:r/>
            <w:r>
              <w:rPr>
                <w:rFonts w:ascii="Calibri" w:hAnsi="Calibri"/>
                <w:sz w:val="18"/>
              </w:rPr>
              <w:t>88 KB</w:t>
            </w:r>
          </w:p>
        </w:tc>
      </w:tr>
      <w:tr>
        <w:tc>
          <w:tcPr>
            <w:tcW w:type="dxa" w:w="2880"/>
          </w:tcPr>
          <w:p>
            <w:r/>
            <w:r>
              <w:rPr>
                <w:rFonts w:ascii="Calibri" w:hAnsi="Calibri"/>
                <w:sz w:val="18"/>
              </w:rPr>
              <w:t>Phlebotomy-Clinical-Site-Explorer.html</w:t>
            </w:r>
          </w:p>
        </w:tc>
        <w:tc>
          <w:tcPr>
            <w:tcW w:type="dxa" w:w="2880"/>
          </w:tcPr>
          <w:p>
            <w:r/>
            <w:r>
              <w:rPr>
                <w:rFonts w:ascii="Calibri" w:hAnsi="Calibri"/>
                <w:sz w:val="18"/>
              </w:rPr>
              <w:t>Gamified Clinical Site Explorer</w:t>
            </w:r>
          </w:p>
        </w:tc>
        <w:tc>
          <w:tcPr>
            <w:tcW w:type="dxa" w:w="2880"/>
          </w:tcPr>
          <w:p>
            <w:r/>
            <w:r>
              <w:rPr>
                <w:rFonts w:ascii="Calibri" w:hAnsi="Calibri"/>
                <w:sz w:val="18"/>
              </w:rPr>
              <w:t>44 KB</w:t>
            </w:r>
          </w:p>
        </w:tc>
      </w:tr>
      <w:tr>
        <w:tc>
          <w:tcPr>
            <w:tcW w:type="dxa" w:w="2880"/>
            <w:shd w:fill="D5E8F0" w:val="clear"/>
          </w:tcPr>
          <w:p>
            <w:r/>
            <w:r>
              <w:rPr>
                <w:rFonts w:ascii="Calibri" w:hAnsi="Calibri"/>
                <w:b/>
                <w:sz w:val="18"/>
              </w:rPr>
              <w:t>Media &amp; Instructor</w:t>
            </w:r>
          </w:p>
        </w:tc>
        <w:tc>
          <w:tcPr>
            <w:tcW w:type="dxa" w:w="2880"/>
            <w:shd w:fill="D5E8F0" w:val="clear"/>
          </w:tcPr>
          <w:p>
            <w:r/>
            <w:r>
              <w:rPr>
                <w:rFonts w:ascii="Calibri" w:hAnsi="Calibri"/>
                <w:b/>
                <w:sz w:val="18"/>
              </w:rPr>
            </w:r>
          </w:p>
        </w:tc>
        <w:tc>
          <w:tcPr>
            <w:tcW w:type="dxa" w:w="2880"/>
            <w:shd w:fill="D5E8F0" w:val="clear"/>
          </w:tcPr>
          <w:p>
            <w:r/>
            <w:r>
              <w:rPr>
                <w:rFonts w:ascii="Calibri" w:hAnsi="Calibri"/>
                <w:b/>
                <w:sz w:val="18"/>
              </w:rPr>
            </w:r>
          </w:p>
        </w:tc>
      </w:tr>
      <w:tr>
        <w:tc>
          <w:tcPr>
            <w:tcW w:type="dxa" w:w="2880"/>
          </w:tcPr>
          <w:p>
            <w:r/>
            <w:r>
              <w:rPr>
                <w:rFonts w:ascii="Calibri" w:hAnsi="Calibri"/>
                <w:sz w:val="18"/>
              </w:rPr>
              <w:t>Phlebotomy-Media-Library.html</w:t>
            </w:r>
          </w:p>
        </w:tc>
        <w:tc>
          <w:tcPr>
            <w:tcW w:type="dxa" w:w="2880"/>
          </w:tcPr>
          <w:p>
            <w:r/>
            <w:r>
              <w:rPr>
                <w:rFonts w:ascii="Calibri" w:hAnsi="Calibri"/>
                <w:sz w:val="18"/>
              </w:rPr>
              <w:t>Video Library &amp; Upload Manager</w:t>
            </w:r>
          </w:p>
        </w:tc>
        <w:tc>
          <w:tcPr>
            <w:tcW w:type="dxa" w:w="2880"/>
          </w:tcPr>
          <w:p>
            <w:r/>
            <w:r>
              <w:rPr>
                <w:rFonts w:ascii="Calibri" w:hAnsi="Calibri"/>
                <w:sz w:val="18"/>
              </w:rPr>
              <w:t>44 KB</w:t>
            </w:r>
          </w:p>
        </w:tc>
      </w:tr>
      <w:tr>
        <w:tc>
          <w:tcPr>
            <w:tcW w:type="dxa" w:w="2880"/>
            <w:shd w:fill="D5E8F0" w:val="clear"/>
          </w:tcPr>
          <w:p>
            <w:r/>
            <w:r>
              <w:rPr>
                <w:rFonts w:ascii="Calibri" w:hAnsi="Calibri"/>
                <w:b/>
                <w:sz w:val="18"/>
              </w:rPr>
              <w:t>Demo &amp; Presentation</w:t>
            </w:r>
          </w:p>
        </w:tc>
        <w:tc>
          <w:tcPr>
            <w:tcW w:type="dxa" w:w="2880"/>
            <w:shd w:fill="D5E8F0" w:val="clear"/>
          </w:tcPr>
          <w:p>
            <w:r/>
            <w:r>
              <w:rPr>
                <w:rFonts w:ascii="Calibri" w:hAnsi="Calibri"/>
                <w:b/>
                <w:sz w:val="18"/>
              </w:rPr>
            </w:r>
          </w:p>
        </w:tc>
        <w:tc>
          <w:tcPr>
            <w:tcW w:type="dxa" w:w="2880"/>
            <w:shd w:fill="D5E8F0" w:val="clear"/>
          </w:tcPr>
          <w:p>
            <w:r/>
            <w:r>
              <w:rPr>
                <w:rFonts w:ascii="Calibri" w:hAnsi="Calibri"/>
                <w:b/>
                <w:sz w:val="18"/>
              </w:rPr>
            </w:r>
          </w:p>
        </w:tc>
      </w:tr>
      <w:tr>
        <w:tc>
          <w:tcPr>
            <w:tcW w:type="dxa" w:w="2880"/>
          </w:tcPr>
          <w:p>
            <w:r/>
            <w:r>
              <w:rPr>
                <w:rFonts w:ascii="Calibri" w:hAnsi="Calibri"/>
                <w:sz w:val="18"/>
              </w:rPr>
              <w:t>index.html</w:t>
            </w:r>
          </w:p>
        </w:tc>
        <w:tc>
          <w:tcPr>
            <w:tcW w:type="dxa" w:w="2880"/>
          </w:tcPr>
          <w:p>
            <w:r/>
            <w:r>
              <w:rPr>
                <w:rFonts w:ascii="Calibri" w:hAnsi="Calibri"/>
                <w:sz w:val="18"/>
              </w:rPr>
              <w:t>Master Demo Landing Page</w:t>
            </w:r>
          </w:p>
        </w:tc>
        <w:tc>
          <w:tcPr>
            <w:tcW w:type="dxa" w:w="2880"/>
          </w:tcPr>
          <w:p>
            <w:r/>
            <w:r>
              <w:rPr>
                <w:rFonts w:ascii="Calibri" w:hAnsi="Calibri"/>
                <w:sz w:val="18"/>
              </w:rPr>
              <w:t>Demo</w:t>
            </w:r>
          </w:p>
        </w:tc>
      </w:tr>
      <w:tr>
        <w:tc>
          <w:tcPr>
            <w:tcW w:type="dxa" w:w="2880"/>
          </w:tcPr>
          <w:p>
            <w:r/>
            <w:r>
              <w:rPr>
                <w:rFonts w:ascii="Calibri" w:hAnsi="Calibri"/>
                <w:sz w:val="18"/>
              </w:rPr>
              <w:t>Instructor-Dashboard.html</w:t>
            </w:r>
          </w:p>
        </w:tc>
        <w:tc>
          <w:tcPr>
            <w:tcW w:type="dxa" w:w="2880"/>
          </w:tcPr>
          <w:p>
            <w:r/>
            <w:r>
              <w:rPr>
                <w:rFonts w:ascii="Calibri" w:hAnsi="Calibri"/>
                <w:sz w:val="18"/>
              </w:rPr>
              <w:t>Instructor Portal View</w:t>
            </w:r>
          </w:p>
        </w:tc>
        <w:tc>
          <w:tcPr>
            <w:tcW w:type="dxa" w:w="2880"/>
          </w:tcPr>
          <w:p>
            <w:r/>
            <w:r>
              <w:rPr>
                <w:rFonts w:ascii="Calibri" w:hAnsi="Calibri"/>
                <w:sz w:val="18"/>
              </w:rPr>
              <w:t>Demo</w:t>
            </w:r>
          </w:p>
        </w:tc>
      </w:tr>
      <w:tr>
        <w:tc>
          <w:tcPr>
            <w:tcW w:type="dxa" w:w="2880"/>
          </w:tcPr>
          <w:p>
            <w:r/>
            <w:r>
              <w:rPr>
                <w:rFonts w:ascii="Calibri" w:hAnsi="Calibri"/>
                <w:sz w:val="18"/>
              </w:rPr>
              <w:t>Agency-Overview.html</w:t>
            </w:r>
          </w:p>
        </w:tc>
        <w:tc>
          <w:tcPr>
            <w:tcW w:type="dxa" w:w="2880"/>
          </w:tcPr>
          <w:p>
            <w:r/>
            <w:r>
              <w:rPr>
                <w:rFonts w:ascii="Calibri" w:hAnsi="Calibri"/>
                <w:sz w:val="18"/>
              </w:rPr>
              <w:t>Agency/Hiring Organization View</w:t>
            </w:r>
          </w:p>
        </w:tc>
        <w:tc>
          <w:tcPr>
            <w:tcW w:type="dxa" w:w="2880"/>
          </w:tcPr>
          <w:p>
            <w:r/>
            <w:r>
              <w:rPr>
                <w:rFonts w:ascii="Calibri" w:hAnsi="Calibri"/>
                <w:sz w:val="18"/>
              </w:rPr>
              <w:t>Demo</w:t>
            </w:r>
          </w:p>
        </w:tc>
      </w:tr>
      <w:tr>
        <w:tc>
          <w:tcPr>
            <w:tcW w:type="dxa" w:w="2880"/>
          </w:tcPr>
          <w:p>
            <w:r/>
            <w:r>
              <w:rPr>
                <w:rFonts w:ascii="Calibri" w:hAnsi="Calibri"/>
                <w:sz w:val="18"/>
              </w:rPr>
              <w:t>Student-Portal.html</w:t>
            </w:r>
          </w:p>
        </w:tc>
        <w:tc>
          <w:tcPr>
            <w:tcW w:type="dxa" w:w="2880"/>
          </w:tcPr>
          <w:p>
            <w:r/>
            <w:r>
              <w:rPr>
                <w:rFonts w:ascii="Calibri" w:hAnsi="Calibri"/>
                <w:sz w:val="18"/>
              </w:rPr>
              <w:t>Gamified Student View</w:t>
            </w:r>
          </w:p>
        </w:tc>
        <w:tc>
          <w:tcPr>
            <w:tcW w:type="dxa" w:w="2880"/>
          </w:tcPr>
          <w:p>
            <w:r/>
            <w:r>
              <w:rPr>
                <w:rFonts w:ascii="Calibri" w:hAnsi="Calibri"/>
                <w:sz w:val="18"/>
              </w:rPr>
              <w:t>Demo</w:t>
            </w:r>
          </w:p>
        </w:tc>
      </w:tr>
      <w:tr>
        <w:tc>
          <w:tcPr>
            <w:tcW w:type="dxa" w:w="2880"/>
          </w:tcPr>
          <w:p>
            <w:r/>
            <w:r>
              <w:rPr>
                <w:rFonts w:ascii="Calibri" w:hAnsi="Calibri"/>
                <w:sz w:val="18"/>
              </w:rPr>
              <w:t>Phlebotomy-Simulation-Challenges.html</w:t>
            </w:r>
          </w:p>
        </w:tc>
        <w:tc>
          <w:tcPr>
            <w:tcW w:type="dxa" w:w="2880"/>
          </w:tcPr>
          <w:p>
            <w:r/>
            <w:r>
              <w:rPr>
                <w:rFonts w:ascii="Calibri" w:hAnsi="Calibri"/>
                <w:sz w:val="18"/>
              </w:rPr>
              <w:t>Live It: 6 Interactive Simulations</w:t>
            </w:r>
          </w:p>
        </w:tc>
        <w:tc>
          <w:tcPr>
            <w:tcW w:type="dxa" w:w="2880"/>
          </w:tcPr>
          <w:p>
            <w:r/>
            <w:r>
              <w:rPr>
                <w:rFonts w:ascii="Calibri" w:hAnsi="Calibri"/>
                <w:sz w:val="18"/>
              </w:rPr>
              <w:t>Demo</w:t>
            </w:r>
          </w:p>
        </w:tc>
      </w:tr>
      <w:tr>
        <w:tc>
          <w:tcPr>
            <w:tcW w:type="dxa" w:w="2880"/>
          </w:tcPr>
          <w:p>
            <w:r/>
            <w:r>
              <w:rPr>
                <w:rFonts w:ascii="Calibri" w:hAnsi="Calibri"/>
                <w:sz w:val="18"/>
              </w:rPr>
              <w:t>Phlebotomy-Patient-Handouts.html</w:t>
            </w:r>
          </w:p>
        </w:tc>
        <w:tc>
          <w:tcPr>
            <w:tcW w:type="dxa" w:w="2880"/>
          </w:tcPr>
          <w:p>
            <w:r/>
            <w:r>
              <w:rPr>
                <w:rFonts w:ascii="Calibri" w:hAnsi="Calibri"/>
                <w:sz w:val="18"/>
              </w:rPr>
              <w:t>Share It: Patient Education Generator</w:t>
            </w:r>
          </w:p>
        </w:tc>
        <w:tc>
          <w:tcPr>
            <w:tcW w:type="dxa" w:w="2880"/>
          </w:tcPr>
          <w:p>
            <w:r/>
            <w:r>
              <w:rPr>
                <w:rFonts w:ascii="Calibri" w:hAnsi="Calibri"/>
                <w:sz w:val="18"/>
              </w:rPr>
              <w:t>Demo</w:t>
            </w:r>
          </w:p>
        </w:tc>
      </w:tr>
      <w:tr>
        <w:tc>
          <w:tcPr>
            <w:tcW w:type="dxa" w:w="2880"/>
            <w:shd w:fill="D5E8F0" w:val="clear"/>
          </w:tcPr>
          <w:p>
            <w:r/>
            <w:r>
              <w:rPr>
                <w:rFonts w:ascii="Calibri" w:hAnsi="Calibri"/>
                <w:b/>
                <w:sz w:val="18"/>
              </w:rPr>
              <w:t>Data &amp; Analysis</w:t>
            </w:r>
          </w:p>
        </w:tc>
        <w:tc>
          <w:tcPr>
            <w:tcW w:type="dxa" w:w="2880"/>
            <w:shd w:fill="D5E8F0" w:val="clear"/>
          </w:tcPr>
          <w:p>
            <w:r/>
            <w:r>
              <w:rPr>
                <w:rFonts w:ascii="Calibri" w:hAnsi="Calibri"/>
                <w:b/>
                <w:sz w:val="18"/>
              </w:rPr>
            </w:r>
          </w:p>
        </w:tc>
        <w:tc>
          <w:tcPr>
            <w:tcW w:type="dxa" w:w="2880"/>
            <w:shd w:fill="D5E8F0" w:val="clear"/>
          </w:tcPr>
          <w:p>
            <w:r/>
            <w:r>
              <w:rPr>
                <w:rFonts w:ascii="Calibri" w:hAnsi="Calibri"/>
                <w:b/>
                <w:sz w:val="18"/>
              </w:rPr>
            </w:r>
          </w:p>
        </w:tc>
      </w:tr>
      <w:tr>
        <w:tc>
          <w:tcPr>
            <w:tcW w:type="dxa" w:w="2880"/>
          </w:tcPr>
          <w:p>
            <w:r/>
            <w:r>
              <w:rPr>
                <w:rFonts w:ascii="Calibri" w:hAnsi="Calibri"/>
                <w:sz w:val="18"/>
              </w:rPr>
              <w:t>Certification-Exam-Content-Map.xlsx</w:t>
            </w:r>
          </w:p>
        </w:tc>
        <w:tc>
          <w:tcPr>
            <w:tcW w:type="dxa" w:w="2880"/>
          </w:tcPr>
          <w:p>
            <w:r/>
            <w:r>
              <w:rPr>
                <w:rFonts w:ascii="Calibri" w:hAnsi="Calibri"/>
                <w:sz w:val="18"/>
              </w:rPr>
              <w:t>11 Exams Analyzed, Module-Lesson Framework</w:t>
            </w:r>
          </w:p>
        </w:tc>
        <w:tc>
          <w:tcPr>
            <w:tcW w:type="dxa" w:w="2880"/>
          </w:tcPr>
          <w:p>
            <w:r/>
            <w:r>
              <w:rPr>
                <w:rFonts w:ascii="Calibri" w:hAnsi="Calibri"/>
                <w:sz w:val="18"/>
              </w:rPr>
              <w:t>Data</w:t>
            </w:r>
          </w:p>
        </w:tc>
      </w:tr>
      <w:tr>
        <w:tc>
          <w:tcPr>
            <w:tcW w:type="dxa" w:w="2880"/>
          </w:tcPr>
          <w:p>
            <w:r/>
            <w:r>
              <w:rPr>
                <w:rFonts w:ascii="Calibri" w:hAnsi="Calibri"/>
                <w:sz w:val="18"/>
              </w:rPr>
              <w:t>Exam-Course-Coverage-Report.xlsx</w:t>
            </w:r>
          </w:p>
        </w:tc>
        <w:tc>
          <w:tcPr>
            <w:tcW w:type="dxa" w:w="2880"/>
          </w:tcPr>
          <w:p>
            <w:r/>
            <w:r>
              <w:rPr>
                <w:rFonts w:ascii="Calibri" w:hAnsi="Calibri"/>
                <w:sz w:val="18"/>
              </w:rPr>
              <w:t>78 Topics Analyzed, Coverage Gap Analysis</w:t>
            </w:r>
          </w:p>
        </w:tc>
        <w:tc>
          <w:tcPr>
            <w:tcW w:type="dxa" w:w="2880"/>
          </w:tcPr>
          <w:p>
            <w:r/>
            <w:r>
              <w:rPr>
                <w:rFonts w:ascii="Calibri" w:hAnsi="Calibri"/>
                <w:sz w:val="18"/>
              </w:rPr>
              <w:t>Data</w:t>
            </w:r>
          </w:p>
        </w:tc>
      </w:tr>
    </w:tbl>
    <w:p>
      <w:r>
        <w:t>Total: 27 assets across course content, demo portal, and data analysis files.</w:t>
      </w:r>
    </w:p>
    <w:p>
      <w:r>
        <w:br w:type="page"/>
      </w:r>
    </w:p>
    <w:p>
      <w:pPr>
        <w:pStyle w:val="Heading1"/>
      </w:pPr>
      <w:r>
        <w:t>7. Teaching Methodology &amp; Technology</w:t>
      </w:r>
    </w:p>
    <w:p>
      <w:pPr>
        <w:pStyle w:val="Heading2"/>
      </w:pPr>
      <w:r>
        <w:t>7.1 Gamification System</w:t>
      </w:r>
    </w:p>
    <w:p>
      <w:r>
        <w:t>The platform uses a comprehensive gamification framework to maintain student engagement:</w:t>
      </w:r>
    </w:p>
    <w:p>
      <w:pPr>
        <w:pStyle w:val="ListBullet"/>
      </w:pPr>
      <w:r>
        <w:t>Experience Points (XP): Earned through lesson completion, quiz performance, simulation scores, and game participation</w:t>
      </w:r>
    </w:p>
    <w:p>
      <w:pPr>
        <w:pStyle w:val="ListBullet"/>
      </w:pPr>
      <w:r>
        <w:t>Coins: Virtual currency earned through achievements, redeemable for platform features</w:t>
      </w:r>
    </w:p>
    <w:p>
      <w:pPr>
        <w:pStyle w:val="ListBullet"/>
      </w:pPr>
      <w:r>
        <w:t>Streaks: Consecutive daily login and activity tracking to build study habits</w:t>
      </w:r>
    </w:p>
    <w:p>
      <w:pPr>
        <w:pStyle w:val="ListBullet"/>
      </w:pPr>
      <w:r>
        <w:t>Ranks: Progressive rank system from Novice to Master based on cumulative XP</w:t>
      </w:r>
    </w:p>
    <w:p>
      <w:pPr>
        <w:pStyle w:val="ListBullet"/>
      </w:pPr>
      <w:r>
        <w:t>Leaderboards: Competitive rankings to encourage peer engagement</w:t>
      </w:r>
    </w:p>
    <w:p>
      <w:pPr>
        <w:pStyle w:val="ListBullet"/>
      </w:pPr>
      <w:r>
        <w:t>Badges: Achievement-based awards for milestones (perfect quiz scores, simulation completion, etc.)</w:t>
      </w:r>
    </w:p>
    <w:p>
      <w:pPr>
        <w:pStyle w:val="Heading2"/>
      </w:pPr>
      <w:r>
        <w:t>7.2 Instructor Integration Points</w:t>
      </w:r>
    </w:p>
    <w:p>
      <w:r>
        <w:t>The program includes designated video placeholder spots throughout the curriculum for instructor-recorded content:</w:t>
      </w:r>
    </w:p>
    <w:p>
      <w:pPr>
        <w:pStyle w:val="ListBullet"/>
      </w:pPr>
      <w:r>
        <w:t>Welcome video placeholder (Student Welcome Portal)</w:t>
      </w:r>
    </w:p>
    <w:p>
      <w:pPr>
        <w:pStyle w:val="ListBullet"/>
      </w:pPr>
      <w:r>
        <w:t>Module introduction videos (6 placeholders, one per module)</w:t>
      </w:r>
    </w:p>
    <w:p>
      <w:pPr>
        <w:pStyle w:val="ListBullet"/>
      </w:pPr>
      <w:r>
        <w:t>Chapter-level instructional videos within each module</w:t>
      </w:r>
    </w:p>
    <w:p>
      <w:pPr>
        <w:pStyle w:val="ListBullet"/>
      </w:pPr>
      <w:r>
        <w:t>Media Library for centralized video management and upload</w:t>
      </w:r>
    </w:p>
    <w:p>
      <w:pPr>
        <w:pStyle w:val="Heading2"/>
      </w:pPr>
      <w:r>
        <w:t>7.3 Single-File Architecture</w:t>
      </w:r>
    </w:p>
    <w:p>
      <w:r>
        <w:t>All course assets are built as standalone HTML files with embedded CSS and JavaScript. This architecture requires no server infrastructure, no build tools, and no external dependencies. Pages can be deployed to any static hosting environment (Vercel, Netlify, S3, etc.) or run directly from a local file system for offline use.</w:t>
      </w:r>
    </w:p>
    <w:p>
      <w:r>
        <w:br w:type="page"/>
      </w:r>
    </w:p>
    <w:p>
      <w:pPr>
        <w:pStyle w:val="Heading1"/>
      </w:pPr>
      <w:r>
        <w:t>8. Planned Enhancements</w:t>
      </w:r>
    </w:p>
    <w:p>
      <w:pPr>
        <w:pStyle w:val="ListBullet"/>
      </w:pPr>
      <w:r>
        <w:t>High-resolution illustrations for each chapter and lesson</w:t>
      </w:r>
    </w:p>
    <w:p>
      <w:pPr>
        <w:pStyle w:val="ListBullet"/>
      </w:pPr>
      <w:r>
        <w:t>Instructor-recorded video content for all placeholder spots</w:t>
      </w:r>
    </w:p>
    <w:p>
      <w:pPr>
        <w:pStyle w:val="ListBullet"/>
      </w:pPr>
      <w:r>
        <w:t>Closed captioning and transcript support for all video content</w:t>
      </w:r>
    </w:p>
    <w:p>
      <w:pPr>
        <w:pStyle w:val="ListBullet"/>
      </w:pPr>
      <w:r>
        <w:t>Downloadable lesson summaries and printable study guides</w:t>
      </w:r>
    </w:p>
    <w:p>
      <w:pPr>
        <w:pStyle w:val="ListBullet"/>
      </w:pPr>
      <w:r>
        <w:t>Assessment rubrics for instructor grading</w:t>
      </w:r>
    </w:p>
    <w:p>
      <w:pPr>
        <w:pStyle w:val="ListBullet"/>
      </w:pPr>
      <w:r>
        <w:t>LMS integration (SCORM/xAPI) for progress tracking</w:t>
      </w:r>
    </w:p>
    <w:p>
      <w:pPr>
        <w:pStyle w:val="ListBullet"/>
      </w:pPr>
      <w:r>
        <w:t>Mobile-optimized responsive design for all pages</w:t>
      </w:r>
    </w:p>
    <w:p>
      <w:pPr>
        <w:pStyle w:val="ListBullet"/>
      </w:pPr>
      <w:r>
        <w:t>Integration of 163 topic-specific flashcards into the existing Flashcards tool</w:t>
      </w:r>
    </w:p>
    <w:p>
      <w:pPr>
        <w:pStyle w:val="ListBullet"/>
      </w:pPr>
      <w:r>
        <w:t>Additional simulation scenarios based on instructor feedback</w:t>
      </w:r>
    </w:p>
    <w:p>
      <w:pPr>
        <w:pStyle w:val="ListBullet"/>
      </w:pPr>
      <w:r>
        <w:t>State-specific regulatory content modules (as needed per jurisdiction)</w:t>
      </w:r>
    </w:p>
    <w:p>
      <w:pPr>
        <w:pStyle w:val="Heading1"/>
      </w:pPr>
      <w:r>
        <w:t>9. Discussion Items for Meeting</w:t>
      </w:r>
    </w:p>
    <w:p>
      <w:r>
        <w:t>The following items are recommended for discussion during the program implementation meeting:</w:t>
      </w:r>
    </w:p>
    <w:p>
      <w:pPr>
        <w:pStyle w:val="ListBullet"/>
      </w:pPr>
      <w:r>
        <w:t>Content depth and accuracy review across all 6 modules — instructor SME validation</w:t>
      </w:r>
    </w:p>
    <w:p>
      <w:pPr>
        <w:pStyle w:val="ListBullet"/>
      </w:pPr>
      <w:r>
        <w:t>Compliance verification with state-specific phlebotomy certification requirements</w:t>
      </w:r>
    </w:p>
    <w:p>
      <w:pPr>
        <w:pStyle w:val="ListBullet"/>
      </w:pPr>
      <w:r>
        <w:t>Testing and assessment strategy — per-module quizzes + practice certification exams</w:t>
      </w:r>
    </w:p>
    <w:p>
      <w:pPr>
        <w:pStyle w:val="ListBullet"/>
      </w:pPr>
      <w:r>
        <w:t>Student progress tracking and grading system configuration</w:t>
      </w:r>
    </w:p>
    <w:p>
      <w:pPr>
        <w:pStyle w:val="ListBullet"/>
      </w:pPr>
      <w:r>
        <w:t>Clinical hours integration and hands-on lab day coordination</w:t>
      </w:r>
    </w:p>
    <w:p>
      <w:pPr>
        <w:pStyle w:val="ListBullet"/>
      </w:pPr>
      <w:r>
        <w:t>Video recording schedule and delivery timeline for instructor content</w:t>
      </w:r>
    </w:p>
    <w:p>
      <w:pPr>
        <w:pStyle w:val="ListBullet"/>
      </w:pPr>
      <w:r>
        <w:t>Simulation challenge review — clinical accuracy and scenario realism</w:t>
      </w:r>
    </w:p>
    <w:p>
      <w:pPr>
        <w:pStyle w:val="ListBullet"/>
      </w:pPr>
      <w:r>
        <w:t>Patient handout customization — additional handout topics requested?</w:t>
      </w:r>
    </w:p>
    <w:p>
      <w:pPr>
        <w:pStyle w:val="ListBullet"/>
      </w:pPr>
      <w:r>
        <w:t>Timeline to go live and student enrollment process</w:t>
      </w:r>
    </w:p>
    <w:p>
      <w:pPr>
        <w:pStyle w:val="ListBullet"/>
      </w:pPr>
      <w:r>
        <w:t>Pricing model and licensing structure</w:t>
      </w:r>
    </w:p>
    <w:p/>
    <w:p/>
    <w:p>
      <w:pPr>
        <w:jc w:val="center"/>
      </w:pPr>
      <w:r>
        <w:rPr>
          <w:color w:val="6B7A99"/>
          <w:sz w:val="18"/>
        </w:rPr>
        <w:t>Force for Health Academy · Berry Best Phlebotomy Training Academy Phlebotomy Program</w:t>
        <w:br/>
        <w:t>NHA and ASCP are registered trademarks of their respective organizations.</w:t>
        <w:br/>
        <w:t>© 2026 Force for Health. All rights reserved.</w:t>
      </w:r>
    </w:p>
    <w:sectPr w:rsidR="00FC693F" w:rsidRPr="0006063C" w:rsidSect="00034616">
      <w:headerReference w:type="default" r:id="rId9"/>
      <w:footerReference w:type="default" r:id="rId1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Arial" w:hAnsi="Arial"/>
        <w:color w:val="6B7A99"/>
        <w:sz w:val="16"/>
      </w:rPr>
      <w:t>Berry Best Phlebotomy Training Academy  ·  powered by The Force for Health</w:t>
    </w:r>
  </w:p>
  <w:p>
    <w:pPr>
      <w:jc w:val="center"/>
    </w:pPr>
    <w:r>
      <w:rPr>
        <w:rFonts w:ascii="Arial" w:hAnsi="Arial"/>
        <w:color w:val="6B7A99"/>
        <w:sz w:val="16"/>
      </w:rPr>
      <w:t xml:space="preserve">Page </w:t>
    </w:r>
    <w:r>
      <w:fldChar w:fldCharType="begin"/>
      <w:instrText xml:space="preserve">PAGE</w:instrText>
      <w:fldChar w:fldCharType="separate"/>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
      <w:drawing>
        <wp:inline xmlns:a="http://schemas.openxmlformats.org/drawingml/2006/main" xmlns:pic="http://schemas.openxmlformats.org/drawingml/2006/picture">
          <wp:extent cx="1216152" cy="347472"/>
          <wp:docPr id="1" name="Picture 1"/>
          <wp:cNvGraphicFramePr>
            <a:graphicFrameLocks noChangeAspect="1"/>
          </wp:cNvGraphicFramePr>
          <a:graphic>
            <a:graphicData uri="http://schemas.openxmlformats.org/drawingml/2006/picture">
              <pic:pic>
                <pic:nvPicPr>
                  <pic:cNvPr id="0" name="horizontal-protect-the-gift.png"/>
                  <pic:cNvPicPr/>
                </pic:nvPicPr>
                <pic:blipFill>
                  <a:blip r:embed="rId1"/>
                  <a:stretch>
                    <a:fillRect/>
                  </a:stretch>
                </pic:blipFill>
                <pic:spPr>
                  <a:xfrm>
                    <a:off x="0" y="0"/>
                    <a:ext cx="1216152" cy="347472"/>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Calibri" w:hAnsi="Calibri"/>
      <w:b/>
      <w:bCs/>
      <w:color w:val="0F2044"/>
      <w:sz w:val="36"/>
      <w:szCs w:val="28"/>
    </w:rPr>
  </w:style>
  <w:style w:type="paragraph" w:styleId="Heading2">
    <w:name w:val="heading 2"/>
    <w:basedOn w:val="Normal"/>
    <w:next w:val="Normal"/>
    <w:link w:val="Heading2Char"/>
    <w:uiPriority w:val="9"/>
    <w:unhideWhenUsed/>
    <w:qFormat/>
    <w:rsid w:val="00FC693F"/>
    <w:pPr>
      <w:keepNext/>
      <w:keepLines/>
      <w:spacing w:before="240" w:after="160"/>
      <w:outlineLvl w:val="1"/>
    </w:pPr>
    <w:rPr>
      <w:rFonts w:asciiTheme="majorHAnsi" w:eastAsiaTheme="majorEastAsia" w:hAnsiTheme="majorHAnsi" w:cstheme="majorBidi" w:ascii="Calibri" w:hAnsi="Calibri"/>
      <w:b/>
      <w:bCs/>
      <w:color w:val="0F2044"/>
      <w:sz w:val="28"/>
      <w:szCs w:val="26"/>
    </w:rPr>
  </w:style>
  <w:style w:type="paragraph" w:styleId="Heading3">
    <w:name w:val="heading 3"/>
    <w:basedOn w:val="Normal"/>
    <w:next w:val="Normal"/>
    <w:link w:val="Heading3Char"/>
    <w:uiPriority w:val="9"/>
    <w:unhideWhenUsed/>
    <w:qFormat/>
    <w:rsid w:val="00FC693F"/>
    <w:pPr>
      <w:keepNext/>
      <w:keepLines/>
      <w:spacing w:before="240" w:after="160"/>
      <w:outlineLvl w:val="2"/>
    </w:pPr>
    <w:rPr>
      <w:rFonts w:asciiTheme="majorHAnsi" w:eastAsiaTheme="majorEastAsia" w:hAnsiTheme="majorHAnsi" w:cstheme="majorBidi" w:ascii="Calibri" w:hAnsi="Calibri"/>
      <w:b/>
      <w:bCs/>
      <w:color w:val="059669"/>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